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19DBE" w14:textId="77777777" w:rsidR="00417FEE" w:rsidRPr="00417FEE" w:rsidRDefault="00417FEE" w:rsidP="00417FEE">
      <w:pPr>
        <w:widowControl/>
        <w:autoSpaceDE/>
        <w:autoSpaceDN/>
        <w:rPr>
          <w:rFonts w:ascii="Calibri" w:eastAsia="Times New Roman" w:hAnsi="Calibri" w:cs="Calibri"/>
          <w:b/>
          <w:bCs/>
          <w:smallCaps w:val="0"/>
          <w:color w:val="000000"/>
          <w:sz w:val="21"/>
          <w:szCs w:val="21"/>
          <w:lang w:eastAsia="en-MY"/>
        </w:rPr>
      </w:pPr>
      <w:r w:rsidRPr="00417FEE">
        <w:rPr>
          <w:rFonts w:ascii="Calibri" w:eastAsia="Times New Roman" w:hAnsi="Calibri" w:cs="Calibri"/>
          <w:b/>
          <w:bCs/>
          <w:smallCaps w:val="0"/>
          <w:noProof/>
          <w:color w:val="000000"/>
          <w:sz w:val="21"/>
          <w:szCs w:val="21"/>
          <w:lang w:eastAsia="en-MY"/>
        </w:rPr>
        <mc:AlternateContent>
          <mc:Choice Requires="wps">
            <w:drawing>
              <wp:inline distT="0" distB="0" distL="0" distR="0" wp14:anchorId="450927AC" wp14:editId="0B43DC69">
                <wp:extent cx="304800" cy="304800"/>
                <wp:effectExtent l="0" t="0" r="0" b="0"/>
                <wp:docPr id="12090796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3DADC6"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29D40E4" w14:textId="77777777" w:rsidR="00417FEE" w:rsidRPr="00417FEE" w:rsidRDefault="00417FEE" w:rsidP="00417FEE">
      <w:pPr>
        <w:widowControl/>
        <w:autoSpaceDE/>
        <w:autoSpaceDN/>
        <w:rPr>
          <w:rFonts w:ascii="Times New Roman" w:eastAsia="Times New Roman" w:hAnsi="Times New Roman" w:cs="Times New Roman"/>
          <w:smallCaps w:val="0"/>
          <w:color w:val="auto"/>
          <w:lang w:eastAsia="en-MY"/>
        </w:rPr>
      </w:pPr>
      <w:r w:rsidRPr="00417FEE">
        <w:rPr>
          <w:rFonts w:ascii="Calibri" w:eastAsia="Times New Roman" w:hAnsi="Calibri" w:cs="Calibri"/>
          <w:b/>
          <w:bCs/>
          <w:smallCaps w:val="0"/>
          <w:color w:val="000000"/>
          <w:sz w:val="21"/>
          <w:szCs w:val="21"/>
          <w:lang w:eastAsia="en-MY"/>
        </w:rPr>
        <w:t> </w:t>
      </w:r>
      <w:r w:rsidRPr="00417FEE">
        <w:rPr>
          <w:rFonts w:ascii="Calibri" w:eastAsia="Times New Roman" w:hAnsi="Calibri" w:cs="Calibri"/>
          <w:b/>
          <w:bCs/>
          <w:smallCaps w:val="0"/>
          <w:color w:val="000000"/>
          <w:sz w:val="21"/>
          <w:szCs w:val="21"/>
          <w:lang w:eastAsia="en-MY"/>
        </w:rPr>
        <w:t>HQCONTROL</w:t>
      </w:r>
    </w:p>
    <w:p w14:paraId="65CF2D8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17365D"/>
          <w:sz w:val="52"/>
          <w:szCs w:val="52"/>
          <w:lang w:eastAsia="en-MY"/>
        </w:rPr>
        <w:t>The Executive Risks Digest</w:t>
      </w:r>
    </w:p>
    <w:p w14:paraId="5811EDC1"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8"/>
          <w:szCs w:val="28"/>
          <w:lang w:eastAsia="en-MY"/>
        </w:rPr>
        <w:t>What changed while you were building?</w:t>
      </w:r>
    </w:p>
    <w:p w14:paraId="42DAFCEC"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i/>
          <w:iCs/>
          <w:smallCaps w:val="0"/>
          <w:color w:val="000000"/>
          <w:sz w:val="21"/>
          <w:szCs w:val="21"/>
          <w:lang w:eastAsia="en-MY"/>
        </w:rPr>
        <w:t>Construction law and commercial risks for the C Suite and Contracts Directors</w:t>
      </w:r>
    </w:p>
    <w:p w14:paraId="6625D495"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1"/>
          <w:szCs w:val="21"/>
          <w:lang w:eastAsia="en-MY"/>
        </w:rPr>
        <w:t>September 2026</w:t>
      </w:r>
    </w:p>
    <w:p w14:paraId="545932B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1"/>
          <w:szCs w:val="21"/>
          <w:lang w:eastAsia="en-MY"/>
        </w:rPr>
        <w:t>QUESTION OF THE MONTH</w:t>
      </w:r>
    </w:p>
    <w:p w14:paraId="7CFB8778"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40"/>
          <w:szCs w:val="40"/>
          <w:lang w:eastAsia="en-MY"/>
        </w:rPr>
        <w:t>You won the claim.</w:t>
      </w:r>
      <w:r w:rsidRPr="00417FEE">
        <w:rPr>
          <w:rFonts w:ascii="Calibri" w:eastAsia="Times New Roman" w:hAnsi="Calibri" w:cs="Calibri"/>
          <w:b/>
          <w:bCs/>
          <w:smallCaps w:val="0"/>
          <w:color w:val="000000"/>
          <w:sz w:val="40"/>
          <w:szCs w:val="40"/>
          <w:lang w:eastAsia="en-MY"/>
        </w:rPr>
        <w:br/>
        <w:t>Can you get paid?</w:t>
      </w:r>
    </w:p>
    <w:p w14:paraId="5889037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smallCaps w:val="0"/>
          <w:color w:val="000000"/>
          <w:sz w:val="22"/>
          <w:szCs w:val="22"/>
          <w:lang w:eastAsia="en-MY"/>
        </w:rPr>
        <w:t>Winning a claim leaves a further commercial question: how will the money be recovered? This month’s reading connects direct payment under CIPAA with contractor insolvency, examines Malaysia’s cross-border insolvency framework and considers the enforcement of international awards. For the boardroom, the focus is on who owes the money, where recovery can be pursued and what may prevent payment.</w:t>
      </w:r>
    </w:p>
    <w:p w14:paraId="1B58178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smallCaps w:val="0"/>
          <w:color w:val="000000"/>
          <w:sz w:val="21"/>
          <w:szCs w:val="21"/>
          <w:lang w:eastAsia="en-MY"/>
        </w:rPr>
        <w:t xml:space="preserve">Start with </w:t>
      </w:r>
      <w:hyperlink r:id="rId4" w:anchor="Article_1" w:history="1">
        <w:r w:rsidRPr="00417FEE">
          <w:rPr>
            <w:rFonts w:ascii="Calibri" w:eastAsia="Times New Roman" w:hAnsi="Calibri" w:cs="Calibri"/>
            <w:smallCaps w:val="0"/>
            <w:color w:val="155B8A"/>
            <w:sz w:val="21"/>
            <w:szCs w:val="21"/>
            <w:u w:val="single"/>
            <w:lang w:eastAsia="en-MY"/>
          </w:rPr>
          <w:t>Articles 1</w:t>
        </w:r>
      </w:hyperlink>
      <w:r w:rsidRPr="00417FEE">
        <w:rPr>
          <w:rFonts w:ascii="Calibri" w:eastAsia="Times New Roman" w:hAnsi="Calibri" w:cs="Calibri"/>
          <w:smallCaps w:val="0"/>
          <w:color w:val="000000"/>
          <w:sz w:val="21"/>
          <w:szCs w:val="21"/>
          <w:lang w:eastAsia="en-MY"/>
        </w:rPr>
        <w:t xml:space="preserve"> and </w:t>
      </w:r>
      <w:hyperlink r:id="rId5" w:anchor="Article_4" w:history="1">
        <w:r w:rsidRPr="00417FEE">
          <w:rPr>
            <w:rFonts w:ascii="Calibri" w:eastAsia="Times New Roman" w:hAnsi="Calibri" w:cs="Calibri"/>
            <w:smallCaps w:val="0"/>
            <w:color w:val="155B8A"/>
            <w:sz w:val="21"/>
            <w:szCs w:val="21"/>
            <w:u w:val="single"/>
            <w:lang w:eastAsia="en-MY"/>
          </w:rPr>
          <w:t>4</w:t>
        </w:r>
      </w:hyperlink>
      <w:r w:rsidRPr="00417FEE">
        <w:rPr>
          <w:rFonts w:ascii="Calibri" w:eastAsia="Times New Roman" w:hAnsi="Calibri" w:cs="Calibri"/>
          <w:smallCaps w:val="0"/>
          <w:color w:val="000000"/>
          <w:sz w:val="21"/>
          <w:szCs w:val="21"/>
          <w:lang w:eastAsia="en-MY"/>
        </w:rPr>
        <w:t xml:space="preserve"> on Malaysia, </w:t>
      </w:r>
      <w:hyperlink r:id="rId6" w:anchor="Article_6" w:history="1">
        <w:r w:rsidRPr="00417FEE">
          <w:rPr>
            <w:rFonts w:ascii="Calibri" w:eastAsia="Times New Roman" w:hAnsi="Calibri" w:cs="Calibri"/>
            <w:smallCaps w:val="0"/>
            <w:color w:val="155B8A"/>
            <w:sz w:val="21"/>
            <w:szCs w:val="21"/>
            <w:u w:val="single"/>
            <w:lang w:eastAsia="en-MY"/>
          </w:rPr>
          <w:t>Article 6</w:t>
        </w:r>
      </w:hyperlink>
      <w:r w:rsidRPr="00417FEE">
        <w:rPr>
          <w:rFonts w:ascii="Calibri" w:eastAsia="Times New Roman" w:hAnsi="Calibri" w:cs="Calibri"/>
          <w:smallCaps w:val="0"/>
          <w:color w:val="000000"/>
          <w:sz w:val="21"/>
          <w:szCs w:val="21"/>
          <w:lang w:eastAsia="en-MY"/>
        </w:rPr>
        <w:t xml:space="preserve"> on India’s MSME payment reforms and </w:t>
      </w:r>
      <w:hyperlink r:id="rId7" w:anchor="Article_19" w:history="1">
        <w:r w:rsidRPr="00417FEE">
          <w:rPr>
            <w:rFonts w:ascii="Calibri" w:eastAsia="Times New Roman" w:hAnsi="Calibri" w:cs="Calibri"/>
            <w:smallCaps w:val="0"/>
            <w:color w:val="155B8A"/>
            <w:sz w:val="21"/>
            <w:szCs w:val="21"/>
            <w:u w:val="single"/>
            <w:lang w:eastAsia="en-MY"/>
          </w:rPr>
          <w:t>Article 19</w:t>
        </w:r>
      </w:hyperlink>
      <w:r w:rsidRPr="00417FEE">
        <w:rPr>
          <w:rFonts w:ascii="Calibri" w:eastAsia="Times New Roman" w:hAnsi="Calibri" w:cs="Calibri"/>
          <w:smallCaps w:val="0"/>
          <w:color w:val="000000"/>
          <w:sz w:val="21"/>
          <w:szCs w:val="21"/>
          <w:lang w:eastAsia="en-MY"/>
        </w:rPr>
        <w:t xml:space="preserve"> on international award enforcement.</w:t>
      </w:r>
    </w:p>
    <w:p w14:paraId="1D8C2BBB"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smallCaps w:val="0"/>
          <w:color w:val="000000"/>
          <w:sz w:val="21"/>
          <w:szCs w:val="21"/>
          <w:lang w:eastAsia="en-MY"/>
        </w:rPr>
        <w:t>This edition brings together 20 articles and recordings by geographical zone and jurisdiction, with concise descriptions and links for further reading or listening.</w:t>
      </w:r>
    </w:p>
    <w:p w14:paraId="25765E8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Asia</w:t>
      </w:r>
    </w:p>
    <w:p w14:paraId="49163B36"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Malaysia</w:t>
      </w:r>
    </w:p>
    <w:p w14:paraId="74EA675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 Section 30 CIPAA Meets Insolvency Law as Court of Appeal Clarifies Limits of Direct Payment</w:t>
      </w:r>
    </w:p>
    <w:p w14:paraId="5F8BAE4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Examines direct payment under section 30 of CIPAA when the main contractor is in liquidation, including the need for money to remain due from the principal and the interaction with insolvency priorities.</w:t>
      </w:r>
    </w:p>
    <w:p w14:paraId="0CA9B7D5" w14:textId="77777777" w:rsidR="00417FEE" w:rsidRPr="00417FEE" w:rsidRDefault="00417FEE" w:rsidP="00417FEE">
      <w:pPr>
        <w:widowControl/>
        <w:autoSpaceDE/>
        <w:autoSpaceDN/>
        <w:rPr>
          <w:rFonts w:ascii="Calibri" w:eastAsia="Times New Roman" w:hAnsi="Calibri" w:cs="Calibri"/>
          <w:smallCaps w:val="0"/>
          <w:color w:val="000000"/>
          <w:lang w:eastAsia="en-MY"/>
        </w:rPr>
      </w:pPr>
      <w:proofErr w:type="spellStart"/>
      <w:r w:rsidRPr="00417FEE">
        <w:rPr>
          <w:rFonts w:ascii="Calibri" w:eastAsia="Times New Roman" w:hAnsi="Calibri" w:cs="Calibri"/>
          <w:b/>
          <w:bCs/>
          <w:smallCaps w:val="0"/>
          <w:color w:val="000000"/>
          <w:sz w:val="20"/>
          <w:szCs w:val="20"/>
          <w:lang w:eastAsia="en-MY"/>
        </w:rPr>
        <w:t>PDLegal</w:t>
      </w:r>
      <w:proofErr w:type="spellEnd"/>
      <w:r w:rsidRPr="00417FEE">
        <w:rPr>
          <w:rFonts w:ascii="Calibri" w:eastAsia="Times New Roman" w:hAnsi="Calibri" w:cs="Calibri"/>
          <w:smallCaps w:val="0"/>
          <w:color w:val="000000"/>
          <w:sz w:val="20"/>
          <w:szCs w:val="20"/>
          <w:lang w:eastAsia="en-MY"/>
        </w:rPr>
        <w:t xml:space="preserve"> | Case commentary</w:t>
      </w:r>
      <w:r w:rsidRPr="00417FEE">
        <w:rPr>
          <w:rFonts w:ascii="Calibri" w:eastAsia="Times New Roman" w:hAnsi="Calibri" w:cs="Calibri"/>
          <w:smallCaps w:val="0"/>
          <w:color w:val="000000"/>
          <w:sz w:val="20"/>
          <w:szCs w:val="20"/>
          <w:lang w:eastAsia="en-MY"/>
        </w:rPr>
        <w:br/>
      </w:r>
      <w:hyperlink r:id="rId8" w:history="1">
        <w:r w:rsidRPr="00417FEE">
          <w:rPr>
            <w:rFonts w:ascii="Calibri" w:eastAsia="Times New Roman" w:hAnsi="Calibri" w:cs="Calibri"/>
            <w:smallCaps w:val="0"/>
            <w:color w:val="155B8A"/>
            <w:sz w:val="20"/>
            <w:szCs w:val="20"/>
            <w:u w:val="single"/>
            <w:lang w:eastAsia="en-MY"/>
          </w:rPr>
          <w:t>Read full article</w:t>
        </w:r>
      </w:hyperlink>
    </w:p>
    <w:p w14:paraId="65FE184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2 Haze is an Occupational Safety and Health Issue — and Most Employers are Not Treating it As One</w:t>
      </w:r>
    </w:p>
    <w:p w14:paraId="5FF65AF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Discusses workplace duties during haze, with practical implications for outdoor construction work, earthworks and lifting operations. Examines risk assessment, protective measures and the responsibilities of employers and principals.</w:t>
      </w:r>
    </w:p>
    <w:p w14:paraId="090BD91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Christopher &amp; Lee Ong</w:t>
      </w:r>
      <w:r w:rsidRPr="00417FEE">
        <w:rPr>
          <w:rFonts w:ascii="Calibri" w:eastAsia="Times New Roman" w:hAnsi="Calibri" w:cs="Calibri"/>
          <w:smallCaps w:val="0"/>
          <w:color w:val="000000"/>
          <w:sz w:val="20"/>
          <w:szCs w:val="20"/>
          <w:lang w:eastAsia="en-MY"/>
        </w:rPr>
        <w:t xml:space="preserve"> | Practice commentary</w:t>
      </w:r>
      <w:r w:rsidRPr="00417FEE">
        <w:rPr>
          <w:rFonts w:ascii="Calibri" w:eastAsia="Times New Roman" w:hAnsi="Calibri" w:cs="Calibri"/>
          <w:smallCaps w:val="0"/>
          <w:color w:val="000000"/>
          <w:sz w:val="20"/>
          <w:szCs w:val="20"/>
          <w:lang w:eastAsia="en-MY"/>
        </w:rPr>
        <w:br/>
      </w:r>
      <w:hyperlink r:id="rId9" w:history="1">
        <w:r w:rsidRPr="00417FEE">
          <w:rPr>
            <w:rFonts w:ascii="Calibri" w:eastAsia="Times New Roman" w:hAnsi="Calibri" w:cs="Calibri"/>
            <w:smallCaps w:val="0"/>
            <w:color w:val="155B8A"/>
            <w:sz w:val="20"/>
            <w:szCs w:val="20"/>
            <w:u w:val="single"/>
            <w:lang w:eastAsia="en-MY"/>
          </w:rPr>
          <w:t>Read full article</w:t>
        </w:r>
      </w:hyperlink>
    </w:p>
    <w:p w14:paraId="2695409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3 Dispute Resolution Update: One Development, Different Maintenance Rates? The Court of Appeal Clarifies a Management Corporation’s Powers</w:t>
      </w:r>
    </w:p>
    <w:p w14:paraId="46DCDCB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Reviews a Court of Appeal decision on different maintenance and sinking fund rates within a mixed development. Explains the significance of actual use of common facilities, the benefits received and the costs attributable to them.</w:t>
      </w:r>
    </w:p>
    <w:p w14:paraId="220D3BB8"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Shearn Delamore &amp; Co</w:t>
      </w:r>
      <w:r w:rsidRPr="00417FEE">
        <w:rPr>
          <w:rFonts w:ascii="Calibri" w:eastAsia="Times New Roman" w:hAnsi="Calibri" w:cs="Calibri"/>
          <w:smallCaps w:val="0"/>
          <w:color w:val="000000"/>
          <w:sz w:val="20"/>
          <w:szCs w:val="20"/>
          <w:lang w:eastAsia="en-MY"/>
        </w:rPr>
        <w:t xml:space="preserve"> | Case commentary</w:t>
      </w:r>
      <w:r w:rsidRPr="00417FEE">
        <w:rPr>
          <w:rFonts w:ascii="Calibri" w:eastAsia="Times New Roman" w:hAnsi="Calibri" w:cs="Calibri"/>
          <w:smallCaps w:val="0"/>
          <w:color w:val="000000"/>
          <w:sz w:val="20"/>
          <w:szCs w:val="20"/>
          <w:lang w:eastAsia="en-MY"/>
        </w:rPr>
        <w:br/>
      </w:r>
      <w:hyperlink r:id="rId10" w:history="1">
        <w:r w:rsidRPr="00417FEE">
          <w:rPr>
            <w:rFonts w:ascii="Calibri" w:eastAsia="Times New Roman" w:hAnsi="Calibri" w:cs="Calibri"/>
            <w:smallCaps w:val="0"/>
            <w:color w:val="155B8A"/>
            <w:sz w:val="20"/>
            <w:szCs w:val="20"/>
            <w:u w:val="single"/>
            <w:lang w:eastAsia="en-MY"/>
          </w:rPr>
          <w:t>Read full article</w:t>
        </w:r>
      </w:hyperlink>
    </w:p>
    <w:p w14:paraId="70B8BB6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4 Malaysia’s Cross-Border Insolvency Act 2026 Comes into Operation</w:t>
      </w:r>
    </w:p>
    <w:p w14:paraId="79F9B1FB"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Explains the commencement of Malaysia’s cross-border insolvency framework and the new court procedures for recognising foreign proceedings, granting relief and protecting local creditors. Relevant to construction payment recovery where an overseas contractor, employer or supplier becomes insolvent and assets or proceedings extend across jurisdictions.</w:t>
      </w:r>
    </w:p>
    <w:p w14:paraId="7B2DF57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Skrine</w:t>
      </w:r>
      <w:r w:rsidRPr="00417FEE">
        <w:rPr>
          <w:rFonts w:ascii="Calibri" w:eastAsia="Times New Roman" w:hAnsi="Calibri" w:cs="Calibri"/>
          <w:smallCaps w:val="0"/>
          <w:color w:val="000000"/>
          <w:sz w:val="20"/>
          <w:szCs w:val="20"/>
          <w:lang w:eastAsia="en-MY"/>
        </w:rPr>
        <w:t xml:space="preserve"> | Legislative commentary</w:t>
      </w:r>
      <w:r w:rsidRPr="00417FEE">
        <w:rPr>
          <w:rFonts w:ascii="Calibri" w:eastAsia="Times New Roman" w:hAnsi="Calibri" w:cs="Calibri"/>
          <w:smallCaps w:val="0"/>
          <w:color w:val="000000"/>
          <w:sz w:val="20"/>
          <w:szCs w:val="20"/>
          <w:lang w:eastAsia="en-MY"/>
        </w:rPr>
        <w:br/>
      </w:r>
      <w:hyperlink r:id="rId11" w:history="1">
        <w:r w:rsidRPr="00417FEE">
          <w:rPr>
            <w:rFonts w:ascii="Calibri" w:eastAsia="Times New Roman" w:hAnsi="Calibri" w:cs="Calibri"/>
            <w:smallCaps w:val="0"/>
            <w:color w:val="155B8A"/>
            <w:sz w:val="20"/>
            <w:szCs w:val="20"/>
            <w:u w:val="single"/>
            <w:lang w:eastAsia="en-MY"/>
          </w:rPr>
          <w:t>Read full article</w:t>
        </w:r>
      </w:hyperlink>
    </w:p>
    <w:p w14:paraId="2D2F169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lastRenderedPageBreak/>
        <w:t>India</w:t>
      </w:r>
    </w:p>
    <w:p w14:paraId="0281C35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5 Bombay High Court reaffirms Section 9 as a safeguard for foreign-seated arbitrations</w:t>
      </w:r>
    </w:p>
    <w:p w14:paraId="4730CF4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Discusses two Bombay High Court decisions on interim protection in support of arbitrations seated outside India. Examines whether the constitution of an arbitral tribunal prevents a party from seeking protection from the Indian courts.</w:t>
      </w:r>
    </w:p>
    <w:p w14:paraId="368DBB3B"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Nishith Desai Associates</w:t>
      </w:r>
      <w:r w:rsidRPr="00417FEE">
        <w:rPr>
          <w:rFonts w:ascii="Calibri" w:eastAsia="Times New Roman" w:hAnsi="Calibri" w:cs="Calibri"/>
          <w:smallCaps w:val="0"/>
          <w:color w:val="000000"/>
          <w:sz w:val="20"/>
          <w:szCs w:val="20"/>
          <w:lang w:eastAsia="en-MY"/>
        </w:rPr>
        <w:t xml:space="preserve"> | Case commentary</w:t>
      </w:r>
      <w:r w:rsidRPr="00417FEE">
        <w:rPr>
          <w:rFonts w:ascii="Calibri" w:eastAsia="Times New Roman" w:hAnsi="Calibri" w:cs="Calibri"/>
          <w:smallCaps w:val="0"/>
          <w:color w:val="000000"/>
          <w:sz w:val="20"/>
          <w:szCs w:val="20"/>
          <w:lang w:eastAsia="en-MY"/>
        </w:rPr>
        <w:br/>
      </w:r>
      <w:hyperlink r:id="rId12" w:history="1">
        <w:r w:rsidRPr="00417FEE">
          <w:rPr>
            <w:rFonts w:ascii="Calibri" w:eastAsia="Times New Roman" w:hAnsi="Calibri" w:cs="Calibri"/>
            <w:smallCaps w:val="0"/>
            <w:color w:val="155B8A"/>
            <w:sz w:val="20"/>
            <w:szCs w:val="20"/>
            <w:u w:val="single"/>
            <w:lang w:eastAsia="en-MY"/>
          </w:rPr>
          <w:t>Read full article</w:t>
        </w:r>
      </w:hyperlink>
      <w:r w:rsidRPr="00417FEE">
        <w:rPr>
          <w:rFonts w:ascii="Calibri" w:eastAsia="Times New Roman" w:hAnsi="Calibri" w:cs="Calibri"/>
          <w:smallCaps w:val="0"/>
          <w:color w:val="000000"/>
          <w:sz w:val="20"/>
          <w:szCs w:val="20"/>
          <w:lang w:eastAsia="en-MY"/>
        </w:rPr>
        <w:t xml:space="preserve"> on National Law Review</w:t>
      </w:r>
    </w:p>
    <w:p w14:paraId="7654936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6 Rethinking MSME Enforcement: How the 2026 Amendment Rewrites the Rules on Delayed Payments and Dispute Resolution</w:t>
      </w:r>
    </w:p>
    <w:p w14:paraId="25A7055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Examines India’s 2026 MSME payment reforms, including faster mediation and arbitration, interim disbursement during award challenges and simplified recovery. Relevant to construction procurement involving eligible micro and small suppliers, where registration status and the applicable statutory payment regime affect claims and cash flow.</w:t>
      </w:r>
    </w:p>
    <w:p w14:paraId="1384ECCB" w14:textId="77777777" w:rsidR="00417FEE" w:rsidRPr="00417FEE" w:rsidRDefault="00417FEE" w:rsidP="00417FEE">
      <w:pPr>
        <w:widowControl/>
        <w:autoSpaceDE/>
        <w:autoSpaceDN/>
        <w:rPr>
          <w:rFonts w:ascii="Calibri" w:eastAsia="Times New Roman" w:hAnsi="Calibri" w:cs="Calibri"/>
          <w:smallCaps w:val="0"/>
          <w:color w:val="000000"/>
          <w:lang w:eastAsia="en-MY"/>
        </w:rPr>
      </w:pPr>
      <w:proofErr w:type="spellStart"/>
      <w:r w:rsidRPr="00417FEE">
        <w:rPr>
          <w:rFonts w:ascii="Calibri" w:eastAsia="Times New Roman" w:hAnsi="Calibri" w:cs="Calibri"/>
          <w:b/>
          <w:bCs/>
          <w:smallCaps w:val="0"/>
          <w:color w:val="000000"/>
          <w:sz w:val="20"/>
          <w:szCs w:val="20"/>
          <w:lang w:eastAsia="en-MY"/>
        </w:rPr>
        <w:t>Eshwars</w:t>
      </w:r>
      <w:proofErr w:type="spellEnd"/>
      <w:r w:rsidRPr="00417FEE">
        <w:rPr>
          <w:rFonts w:ascii="Calibri" w:eastAsia="Times New Roman" w:hAnsi="Calibri" w:cs="Calibri"/>
          <w:smallCaps w:val="0"/>
          <w:color w:val="000000"/>
          <w:sz w:val="20"/>
          <w:szCs w:val="20"/>
          <w:lang w:eastAsia="en-MY"/>
        </w:rPr>
        <w:t xml:space="preserve"> | Legislative commentary</w:t>
      </w:r>
      <w:r w:rsidRPr="00417FEE">
        <w:rPr>
          <w:rFonts w:ascii="Calibri" w:eastAsia="Times New Roman" w:hAnsi="Calibri" w:cs="Calibri"/>
          <w:smallCaps w:val="0"/>
          <w:color w:val="000000"/>
          <w:sz w:val="20"/>
          <w:szCs w:val="20"/>
          <w:lang w:eastAsia="en-MY"/>
        </w:rPr>
        <w:br/>
      </w:r>
      <w:hyperlink r:id="rId13" w:history="1">
        <w:r w:rsidRPr="00417FEE">
          <w:rPr>
            <w:rFonts w:ascii="Calibri" w:eastAsia="Times New Roman" w:hAnsi="Calibri" w:cs="Calibri"/>
            <w:smallCaps w:val="0"/>
            <w:color w:val="155B8A"/>
            <w:sz w:val="20"/>
            <w:szCs w:val="20"/>
            <w:u w:val="single"/>
            <w:lang w:eastAsia="en-MY"/>
          </w:rPr>
          <w:t>Read full article</w:t>
        </w:r>
      </w:hyperlink>
    </w:p>
    <w:p w14:paraId="6D7CE9D5"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Singapore</w:t>
      </w:r>
    </w:p>
    <w:p w14:paraId="6C237228"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7 After the award: trends in arbitration challenges — Singapore</w:t>
      </w:r>
    </w:p>
    <w:p w14:paraId="26DF6A6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Examines the success rates, grounds, timeframes and costs of challenges to arbitral awards in Singapore. The discussion draws on the firm’s arbitration report and considers what the findings mean for dispute strategy.</w:t>
      </w:r>
    </w:p>
    <w:p w14:paraId="6401033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Reed Smith</w:t>
      </w:r>
      <w:r w:rsidRPr="00417FEE">
        <w:rPr>
          <w:rFonts w:ascii="Calibri" w:eastAsia="Times New Roman" w:hAnsi="Calibri" w:cs="Calibri"/>
          <w:smallCaps w:val="0"/>
          <w:color w:val="000000"/>
          <w:sz w:val="20"/>
          <w:szCs w:val="20"/>
          <w:lang w:eastAsia="en-MY"/>
        </w:rPr>
        <w:t xml:space="preserve"> | Podcast and transcript</w:t>
      </w:r>
      <w:r w:rsidRPr="00417FEE">
        <w:rPr>
          <w:rFonts w:ascii="Calibri" w:eastAsia="Times New Roman" w:hAnsi="Calibri" w:cs="Calibri"/>
          <w:smallCaps w:val="0"/>
          <w:color w:val="000000"/>
          <w:sz w:val="20"/>
          <w:szCs w:val="20"/>
          <w:lang w:eastAsia="en-MY"/>
        </w:rPr>
        <w:br/>
      </w:r>
      <w:hyperlink r:id="rId14" w:history="1">
        <w:r w:rsidRPr="00417FEE">
          <w:rPr>
            <w:rFonts w:ascii="Calibri" w:eastAsia="Times New Roman" w:hAnsi="Calibri" w:cs="Calibri"/>
            <w:smallCaps w:val="0"/>
            <w:color w:val="155B8A"/>
            <w:sz w:val="20"/>
            <w:szCs w:val="20"/>
            <w:u w:val="single"/>
            <w:lang w:eastAsia="en-MY"/>
          </w:rPr>
          <w:t>Read transcript or listen</w:t>
        </w:r>
      </w:hyperlink>
    </w:p>
    <w:p w14:paraId="15E48DF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Australasia</w:t>
      </w:r>
    </w:p>
    <w:p w14:paraId="7C26759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Australia</w:t>
      </w:r>
    </w:p>
    <w:p w14:paraId="6A7B4680"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8 What the Victorian Royal Commission means for organisations involved in major projects</w:t>
      </w:r>
    </w:p>
    <w:p w14:paraId="164C928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Explains the scope of Victoria’s Royal Commission into major public and civil infrastructure construction projects. Highlights the implications for project records, procurement, governance, contract management and responses to possible requests for documents.</w:t>
      </w:r>
    </w:p>
    <w:p w14:paraId="129D88A7" w14:textId="77777777" w:rsidR="00417FEE" w:rsidRPr="00417FEE" w:rsidRDefault="00417FEE" w:rsidP="00417FEE">
      <w:pPr>
        <w:widowControl/>
        <w:autoSpaceDE/>
        <w:autoSpaceDN/>
        <w:rPr>
          <w:rFonts w:ascii="Calibri" w:eastAsia="Times New Roman" w:hAnsi="Calibri" w:cs="Calibri"/>
          <w:smallCaps w:val="0"/>
          <w:color w:val="000000"/>
          <w:lang w:eastAsia="en-MY"/>
        </w:rPr>
      </w:pPr>
      <w:proofErr w:type="spellStart"/>
      <w:r w:rsidRPr="00417FEE">
        <w:rPr>
          <w:rFonts w:ascii="Calibri" w:eastAsia="Times New Roman" w:hAnsi="Calibri" w:cs="Calibri"/>
          <w:b/>
          <w:bCs/>
          <w:smallCaps w:val="0"/>
          <w:color w:val="000000"/>
          <w:sz w:val="20"/>
          <w:szCs w:val="20"/>
          <w:lang w:eastAsia="en-MY"/>
        </w:rPr>
        <w:t>Gadens</w:t>
      </w:r>
      <w:proofErr w:type="spellEnd"/>
      <w:r w:rsidRPr="00417FEE">
        <w:rPr>
          <w:rFonts w:ascii="Calibri" w:eastAsia="Times New Roman" w:hAnsi="Calibri" w:cs="Calibri"/>
          <w:smallCaps w:val="0"/>
          <w:color w:val="000000"/>
          <w:sz w:val="20"/>
          <w:szCs w:val="20"/>
          <w:lang w:eastAsia="en-MY"/>
        </w:rPr>
        <w:t xml:space="preserve"> | Regulatory commentary</w:t>
      </w:r>
      <w:r w:rsidRPr="00417FEE">
        <w:rPr>
          <w:rFonts w:ascii="Calibri" w:eastAsia="Times New Roman" w:hAnsi="Calibri" w:cs="Calibri"/>
          <w:smallCaps w:val="0"/>
          <w:color w:val="000000"/>
          <w:sz w:val="20"/>
          <w:szCs w:val="20"/>
          <w:lang w:eastAsia="en-MY"/>
        </w:rPr>
        <w:br/>
      </w:r>
      <w:hyperlink r:id="rId15" w:history="1">
        <w:r w:rsidRPr="00417FEE">
          <w:rPr>
            <w:rFonts w:ascii="Calibri" w:eastAsia="Times New Roman" w:hAnsi="Calibri" w:cs="Calibri"/>
            <w:smallCaps w:val="0"/>
            <w:color w:val="155B8A"/>
            <w:sz w:val="20"/>
            <w:szCs w:val="20"/>
            <w:u w:val="single"/>
            <w:lang w:eastAsia="en-MY"/>
          </w:rPr>
          <w:t>Read full article</w:t>
        </w:r>
      </w:hyperlink>
    </w:p>
    <w:p w14:paraId="4090391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9 Delay Rarely Starts Where You Think It Does</w:t>
      </w:r>
    </w:p>
    <w:p w14:paraId="77EA4F8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Explores how delay develops through events, resequencing decisions and changing critical paths. Emphasises tracing cause and effect through contemporaneous records instead of treating the duration of a late instruction or drawing as the delay to completion.</w:t>
      </w:r>
    </w:p>
    <w:p w14:paraId="72FA3F7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Accura Consulting</w:t>
      </w:r>
      <w:r w:rsidRPr="00417FEE">
        <w:rPr>
          <w:rFonts w:ascii="Calibri" w:eastAsia="Times New Roman" w:hAnsi="Calibri" w:cs="Calibri"/>
          <w:smallCaps w:val="0"/>
          <w:color w:val="000000"/>
          <w:sz w:val="20"/>
          <w:szCs w:val="20"/>
          <w:lang w:eastAsia="en-MY"/>
        </w:rPr>
        <w:t xml:space="preserve"> | Expert commentary</w:t>
      </w:r>
      <w:r w:rsidRPr="00417FEE">
        <w:rPr>
          <w:rFonts w:ascii="Calibri" w:eastAsia="Times New Roman" w:hAnsi="Calibri" w:cs="Calibri"/>
          <w:smallCaps w:val="0"/>
          <w:color w:val="000000"/>
          <w:sz w:val="20"/>
          <w:szCs w:val="20"/>
          <w:lang w:eastAsia="en-MY"/>
        </w:rPr>
        <w:br/>
      </w:r>
      <w:hyperlink r:id="rId16" w:history="1">
        <w:r w:rsidRPr="00417FEE">
          <w:rPr>
            <w:rFonts w:ascii="Calibri" w:eastAsia="Times New Roman" w:hAnsi="Calibri" w:cs="Calibri"/>
            <w:smallCaps w:val="0"/>
            <w:color w:val="155B8A"/>
            <w:sz w:val="20"/>
            <w:szCs w:val="20"/>
            <w:u w:val="single"/>
            <w:lang w:eastAsia="en-MY"/>
          </w:rPr>
          <w:t>Read full article</w:t>
        </w:r>
      </w:hyperlink>
    </w:p>
    <w:p w14:paraId="0561AC7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10 Expert Determination: The Quiet Power Player in High-Value Commercial Disputes</w:t>
      </w:r>
    </w:p>
    <w:p w14:paraId="0F2160C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Explains contractual expert determination for technical, accounting and valuation disputes. Considers the scope of the referral, the procedure and the finality of the outcome, with emphasis on matching the clause to the likely dispute.</w:t>
      </w:r>
    </w:p>
    <w:p w14:paraId="0E8A0065"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JCL Law Partners</w:t>
      </w:r>
      <w:r w:rsidRPr="00417FEE">
        <w:rPr>
          <w:rFonts w:ascii="Calibri" w:eastAsia="Times New Roman" w:hAnsi="Calibri" w:cs="Calibri"/>
          <w:smallCaps w:val="0"/>
          <w:color w:val="000000"/>
          <w:sz w:val="20"/>
          <w:szCs w:val="20"/>
          <w:lang w:eastAsia="en-MY"/>
        </w:rPr>
        <w:t xml:space="preserve"> | Practice commentary</w:t>
      </w:r>
      <w:r w:rsidRPr="00417FEE">
        <w:rPr>
          <w:rFonts w:ascii="Calibri" w:eastAsia="Times New Roman" w:hAnsi="Calibri" w:cs="Calibri"/>
          <w:smallCaps w:val="0"/>
          <w:color w:val="000000"/>
          <w:sz w:val="20"/>
          <w:szCs w:val="20"/>
          <w:lang w:eastAsia="en-MY"/>
        </w:rPr>
        <w:br/>
      </w:r>
      <w:hyperlink r:id="rId17" w:history="1">
        <w:r w:rsidRPr="00417FEE">
          <w:rPr>
            <w:rFonts w:ascii="Calibri" w:eastAsia="Times New Roman" w:hAnsi="Calibri" w:cs="Calibri"/>
            <w:smallCaps w:val="0"/>
            <w:color w:val="155B8A"/>
            <w:sz w:val="20"/>
            <w:szCs w:val="20"/>
            <w:u w:val="single"/>
            <w:lang w:eastAsia="en-MY"/>
          </w:rPr>
          <w:t>Read full article</w:t>
        </w:r>
      </w:hyperlink>
    </w:p>
    <w:p w14:paraId="5F3DD73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11 Nearing Net Zero: Data centres and the social license question</w:t>
      </w:r>
    </w:p>
    <w:p w14:paraId="62763F7B"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Discusses community opposition, environmental considerations and development choices for data centres in Australia. Explores the reuse of former power station sites and the importance of clear engagement with communities affected by new infrastructure.</w:t>
      </w:r>
    </w:p>
    <w:p w14:paraId="6D6E3E1A"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Ashurst Perkins Coie</w:t>
      </w:r>
      <w:r w:rsidRPr="00417FEE">
        <w:rPr>
          <w:rFonts w:ascii="Calibri" w:eastAsia="Times New Roman" w:hAnsi="Calibri" w:cs="Calibri"/>
          <w:smallCaps w:val="0"/>
          <w:color w:val="000000"/>
          <w:sz w:val="20"/>
          <w:szCs w:val="20"/>
          <w:lang w:eastAsia="en-MY"/>
        </w:rPr>
        <w:t xml:space="preserve"> | Podcast and transcript</w:t>
      </w:r>
      <w:r w:rsidRPr="00417FEE">
        <w:rPr>
          <w:rFonts w:ascii="Calibri" w:eastAsia="Times New Roman" w:hAnsi="Calibri" w:cs="Calibri"/>
          <w:smallCaps w:val="0"/>
          <w:color w:val="000000"/>
          <w:sz w:val="20"/>
          <w:szCs w:val="20"/>
          <w:lang w:eastAsia="en-MY"/>
        </w:rPr>
        <w:br/>
      </w:r>
      <w:hyperlink r:id="rId18" w:history="1">
        <w:r w:rsidRPr="00417FEE">
          <w:rPr>
            <w:rFonts w:ascii="Calibri" w:eastAsia="Times New Roman" w:hAnsi="Calibri" w:cs="Calibri"/>
            <w:smallCaps w:val="0"/>
            <w:color w:val="155B8A"/>
            <w:sz w:val="20"/>
            <w:szCs w:val="20"/>
            <w:u w:val="single"/>
            <w:lang w:eastAsia="en-MY"/>
          </w:rPr>
          <w:t>Read transcript or listen</w:t>
        </w:r>
      </w:hyperlink>
    </w:p>
    <w:p w14:paraId="39516548"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New Zealand</w:t>
      </w:r>
    </w:p>
    <w:p w14:paraId="02A73C20"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12 Cross-leases, renovations and neighbour disputes — a shift in approach</w:t>
      </w:r>
    </w:p>
    <w:p w14:paraId="64BA373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lastRenderedPageBreak/>
        <w:t>Reviews the approach to renovation disputes involving cross-lease properties. Considers when neighbours may reasonably withhold consent to proposed works and the implications for owners planning alterations or additions.</w:t>
      </w:r>
    </w:p>
    <w:p w14:paraId="56E6386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Wynn Williams</w:t>
      </w:r>
      <w:r w:rsidRPr="00417FEE">
        <w:rPr>
          <w:rFonts w:ascii="Calibri" w:eastAsia="Times New Roman" w:hAnsi="Calibri" w:cs="Calibri"/>
          <w:smallCaps w:val="0"/>
          <w:color w:val="000000"/>
          <w:sz w:val="20"/>
          <w:szCs w:val="20"/>
          <w:lang w:eastAsia="en-MY"/>
        </w:rPr>
        <w:t xml:space="preserve"> | Case commentary</w:t>
      </w:r>
      <w:r w:rsidRPr="00417FEE">
        <w:rPr>
          <w:rFonts w:ascii="Calibri" w:eastAsia="Times New Roman" w:hAnsi="Calibri" w:cs="Calibri"/>
          <w:smallCaps w:val="0"/>
          <w:color w:val="000000"/>
          <w:sz w:val="20"/>
          <w:szCs w:val="20"/>
          <w:lang w:eastAsia="en-MY"/>
        </w:rPr>
        <w:br/>
      </w:r>
      <w:hyperlink r:id="rId19" w:history="1">
        <w:r w:rsidRPr="00417FEE">
          <w:rPr>
            <w:rFonts w:ascii="Calibri" w:eastAsia="Times New Roman" w:hAnsi="Calibri" w:cs="Calibri"/>
            <w:smallCaps w:val="0"/>
            <w:color w:val="155B8A"/>
            <w:sz w:val="20"/>
            <w:szCs w:val="20"/>
            <w:u w:val="single"/>
            <w:lang w:eastAsia="en-MY"/>
          </w:rPr>
          <w:t>Read full article</w:t>
        </w:r>
      </w:hyperlink>
    </w:p>
    <w:p w14:paraId="590E304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Europe</w:t>
      </w:r>
    </w:p>
    <w:p w14:paraId="105E75A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Belgium</w:t>
      </w:r>
    </w:p>
    <w:p w14:paraId="12D5209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13 The proposed EU public procurement regulation: Key changes and practical implications for Belgium</w:t>
      </w:r>
    </w:p>
    <w:p w14:paraId="154F801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Discusses proposed EU procurement reforms and their implications for Belgium. Covers access to tenders, award criteria, subcontracting and contract modifications, with practical considerations for businesses seeking public works contracts.</w:t>
      </w:r>
    </w:p>
    <w:p w14:paraId="25F2DB2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Kevin Munungu of Bird &amp; Bird</w:t>
      </w:r>
      <w:r w:rsidRPr="00417FEE">
        <w:rPr>
          <w:rFonts w:ascii="Calibri" w:eastAsia="Times New Roman" w:hAnsi="Calibri" w:cs="Calibri"/>
          <w:smallCaps w:val="0"/>
          <w:color w:val="000000"/>
          <w:sz w:val="20"/>
          <w:szCs w:val="20"/>
          <w:lang w:eastAsia="en-MY"/>
        </w:rPr>
        <w:t xml:space="preserve"> | Legislative commentary</w:t>
      </w:r>
      <w:r w:rsidRPr="00417FEE">
        <w:rPr>
          <w:rFonts w:ascii="Calibri" w:eastAsia="Times New Roman" w:hAnsi="Calibri" w:cs="Calibri"/>
          <w:smallCaps w:val="0"/>
          <w:color w:val="000000"/>
          <w:sz w:val="20"/>
          <w:szCs w:val="20"/>
          <w:lang w:eastAsia="en-MY"/>
        </w:rPr>
        <w:br/>
      </w:r>
      <w:hyperlink r:id="rId20" w:history="1">
        <w:r w:rsidRPr="00417FEE">
          <w:rPr>
            <w:rFonts w:ascii="Calibri" w:eastAsia="Times New Roman" w:hAnsi="Calibri" w:cs="Calibri"/>
            <w:smallCaps w:val="0"/>
            <w:color w:val="155B8A"/>
            <w:sz w:val="20"/>
            <w:szCs w:val="20"/>
            <w:u w:val="single"/>
            <w:lang w:eastAsia="en-MY"/>
          </w:rPr>
          <w:t>Read full article</w:t>
        </w:r>
      </w:hyperlink>
      <w:r w:rsidRPr="00417FEE">
        <w:rPr>
          <w:rFonts w:ascii="Calibri" w:eastAsia="Times New Roman" w:hAnsi="Calibri" w:cs="Calibri"/>
          <w:smallCaps w:val="0"/>
          <w:color w:val="000000"/>
          <w:sz w:val="20"/>
          <w:szCs w:val="20"/>
          <w:lang w:eastAsia="en-MY"/>
        </w:rPr>
        <w:t xml:space="preserve"> on </w:t>
      </w:r>
      <w:proofErr w:type="spellStart"/>
      <w:r w:rsidRPr="00417FEE">
        <w:rPr>
          <w:rFonts w:ascii="Calibri" w:eastAsia="Times New Roman" w:hAnsi="Calibri" w:cs="Calibri"/>
          <w:smallCaps w:val="0"/>
          <w:color w:val="000000"/>
          <w:sz w:val="20"/>
          <w:szCs w:val="20"/>
          <w:lang w:eastAsia="en-MY"/>
        </w:rPr>
        <w:t>LexGO</w:t>
      </w:r>
      <w:proofErr w:type="spellEnd"/>
    </w:p>
    <w:p w14:paraId="70CD9831"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Netherlands</w:t>
      </w:r>
    </w:p>
    <w:p w14:paraId="1A547EC6"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14 The Netherlands proposes mandatory environmental requirements for infrastructure procurement</w:t>
      </w:r>
    </w:p>
    <w:p w14:paraId="369025DB"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Examines a draft decree on environmental performance requirements for civil engineering and infrastructure works. Explains the proposed role of environmental criteria in procurement and their implications for public authorities and bidders.</w:t>
      </w:r>
    </w:p>
    <w:p w14:paraId="530917A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Bird &amp; Bird</w:t>
      </w:r>
      <w:r w:rsidRPr="00417FEE">
        <w:rPr>
          <w:rFonts w:ascii="Calibri" w:eastAsia="Times New Roman" w:hAnsi="Calibri" w:cs="Calibri"/>
          <w:smallCaps w:val="0"/>
          <w:color w:val="000000"/>
          <w:sz w:val="20"/>
          <w:szCs w:val="20"/>
          <w:lang w:eastAsia="en-MY"/>
        </w:rPr>
        <w:t xml:space="preserve"> | Legislative commentary</w:t>
      </w:r>
      <w:r w:rsidRPr="00417FEE">
        <w:rPr>
          <w:rFonts w:ascii="Calibri" w:eastAsia="Times New Roman" w:hAnsi="Calibri" w:cs="Calibri"/>
          <w:smallCaps w:val="0"/>
          <w:color w:val="000000"/>
          <w:sz w:val="20"/>
          <w:szCs w:val="20"/>
          <w:lang w:eastAsia="en-MY"/>
        </w:rPr>
        <w:br/>
      </w:r>
      <w:hyperlink r:id="rId21" w:history="1">
        <w:r w:rsidRPr="00417FEE">
          <w:rPr>
            <w:rFonts w:ascii="Calibri" w:eastAsia="Times New Roman" w:hAnsi="Calibri" w:cs="Calibri"/>
            <w:smallCaps w:val="0"/>
            <w:color w:val="155B8A"/>
            <w:sz w:val="20"/>
            <w:szCs w:val="20"/>
            <w:u w:val="single"/>
            <w:lang w:eastAsia="en-MY"/>
          </w:rPr>
          <w:t>Read full article</w:t>
        </w:r>
      </w:hyperlink>
    </w:p>
    <w:p w14:paraId="1EDE2EE0"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Middle East</w:t>
      </w:r>
    </w:p>
    <w:p w14:paraId="4CB917D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United Arab Emirates</w:t>
      </w:r>
    </w:p>
    <w:p w14:paraId="73D4BCD1"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15 Civil Claims for Breach of Contract Under UAE Laws</w:t>
      </w:r>
    </w:p>
    <w:p w14:paraId="435C87BA"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Outlines contractual breach claims under UAE law, covering performance, termination, compensation, notices and evidence of loss. Explains the importance of identifying the obligation, the alleged breach and the remedy sought.</w:t>
      </w:r>
    </w:p>
    <w:p w14:paraId="4FCFB05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 xml:space="preserve">Awatif Mohammad </w:t>
      </w:r>
      <w:proofErr w:type="spellStart"/>
      <w:r w:rsidRPr="00417FEE">
        <w:rPr>
          <w:rFonts w:ascii="Calibri" w:eastAsia="Times New Roman" w:hAnsi="Calibri" w:cs="Calibri"/>
          <w:b/>
          <w:bCs/>
          <w:smallCaps w:val="0"/>
          <w:color w:val="000000"/>
          <w:sz w:val="20"/>
          <w:szCs w:val="20"/>
          <w:lang w:eastAsia="en-MY"/>
        </w:rPr>
        <w:t>Shoqi</w:t>
      </w:r>
      <w:proofErr w:type="spellEnd"/>
      <w:r w:rsidRPr="00417FEE">
        <w:rPr>
          <w:rFonts w:ascii="Calibri" w:eastAsia="Times New Roman" w:hAnsi="Calibri" w:cs="Calibri"/>
          <w:b/>
          <w:bCs/>
          <w:smallCaps w:val="0"/>
          <w:color w:val="000000"/>
          <w:sz w:val="20"/>
          <w:szCs w:val="20"/>
          <w:lang w:eastAsia="en-MY"/>
        </w:rPr>
        <w:t xml:space="preserve"> Advocates &amp; Legal Consultancy</w:t>
      </w:r>
      <w:r w:rsidRPr="00417FEE">
        <w:rPr>
          <w:rFonts w:ascii="Calibri" w:eastAsia="Times New Roman" w:hAnsi="Calibri" w:cs="Calibri"/>
          <w:smallCaps w:val="0"/>
          <w:color w:val="000000"/>
          <w:sz w:val="20"/>
          <w:szCs w:val="20"/>
          <w:lang w:eastAsia="en-MY"/>
        </w:rPr>
        <w:t xml:space="preserve"> | Practice commentary</w:t>
      </w:r>
      <w:r w:rsidRPr="00417FEE">
        <w:rPr>
          <w:rFonts w:ascii="Calibri" w:eastAsia="Times New Roman" w:hAnsi="Calibri" w:cs="Calibri"/>
          <w:smallCaps w:val="0"/>
          <w:color w:val="000000"/>
          <w:sz w:val="20"/>
          <w:szCs w:val="20"/>
          <w:lang w:eastAsia="en-MY"/>
        </w:rPr>
        <w:br/>
      </w:r>
      <w:hyperlink r:id="rId22" w:history="1">
        <w:r w:rsidRPr="00417FEE">
          <w:rPr>
            <w:rFonts w:ascii="Calibri" w:eastAsia="Times New Roman" w:hAnsi="Calibri" w:cs="Calibri"/>
            <w:smallCaps w:val="0"/>
            <w:color w:val="155B8A"/>
            <w:sz w:val="20"/>
            <w:szCs w:val="20"/>
            <w:u w:val="single"/>
            <w:lang w:eastAsia="en-MY"/>
          </w:rPr>
          <w:t>Read full article</w:t>
        </w:r>
      </w:hyperlink>
      <w:r w:rsidRPr="00417FEE">
        <w:rPr>
          <w:rFonts w:ascii="Calibri" w:eastAsia="Times New Roman" w:hAnsi="Calibri" w:cs="Calibri"/>
          <w:smallCaps w:val="0"/>
          <w:color w:val="000000"/>
          <w:sz w:val="20"/>
          <w:szCs w:val="20"/>
          <w:lang w:eastAsia="en-MY"/>
        </w:rPr>
        <w:t xml:space="preserve"> on Chambers and Partners</w:t>
      </w:r>
    </w:p>
    <w:p w14:paraId="6DAC647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16 Can Buyers Get Refund if Project Gets Cancelled?</w:t>
      </w:r>
    </w:p>
    <w:p w14:paraId="09976D9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Explains refund routes for buyers in cancelled Dubai property projects, including cancellation status, escrow arrangements and the documents needed to support a claim. Discusses the procedures for seeking recovery after a development is cancelled.</w:t>
      </w:r>
    </w:p>
    <w:p w14:paraId="11552363"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Leaders Advocates</w:t>
      </w:r>
      <w:r w:rsidRPr="00417FEE">
        <w:rPr>
          <w:rFonts w:ascii="Calibri" w:eastAsia="Times New Roman" w:hAnsi="Calibri" w:cs="Calibri"/>
          <w:smallCaps w:val="0"/>
          <w:color w:val="000000"/>
          <w:sz w:val="20"/>
          <w:szCs w:val="20"/>
          <w:lang w:eastAsia="en-MY"/>
        </w:rPr>
        <w:t xml:space="preserve"> | Practice commentary</w:t>
      </w:r>
      <w:r w:rsidRPr="00417FEE">
        <w:rPr>
          <w:rFonts w:ascii="Calibri" w:eastAsia="Times New Roman" w:hAnsi="Calibri" w:cs="Calibri"/>
          <w:smallCaps w:val="0"/>
          <w:color w:val="000000"/>
          <w:sz w:val="20"/>
          <w:szCs w:val="20"/>
          <w:lang w:eastAsia="en-MY"/>
        </w:rPr>
        <w:br/>
      </w:r>
      <w:hyperlink r:id="rId23" w:history="1">
        <w:r w:rsidRPr="00417FEE">
          <w:rPr>
            <w:rFonts w:ascii="Calibri" w:eastAsia="Times New Roman" w:hAnsi="Calibri" w:cs="Calibri"/>
            <w:smallCaps w:val="0"/>
            <w:color w:val="155B8A"/>
            <w:sz w:val="20"/>
            <w:szCs w:val="20"/>
            <w:u w:val="single"/>
            <w:lang w:eastAsia="en-MY"/>
          </w:rPr>
          <w:t>Read full article</w:t>
        </w:r>
      </w:hyperlink>
    </w:p>
    <w:p w14:paraId="0A3B5067"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Africa</w:t>
      </w:r>
    </w:p>
    <w:p w14:paraId="2088452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4F81BD"/>
          <w:sz w:val="26"/>
          <w:szCs w:val="26"/>
          <w:lang w:eastAsia="en-MY"/>
        </w:rPr>
        <w:t>Tanzania</w:t>
      </w:r>
    </w:p>
    <w:p w14:paraId="26D2AD4F"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17 Tanzania: Proposed Amendments to the Natural Wealth and Resources (Permanent Sovereignty) Act, May Affect Mining Investment Agreements</w:t>
      </w:r>
    </w:p>
    <w:p w14:paraId="7B4F80F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Analyses proposed changes to dispute resolution in natural resource project agreements. Covers special arrangements for proceedings, jurisdiction and the seat of arbitration where an agreement has Cabinet approval.</w:t>
      </w:r>
    </w:p>
    <w:p w14:paraId="3414938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Clyde &amp; Co</w:t>
      </w:r>
      <w:r w:rsidRPr="00417FEE">
        <w:rPr>
          <w:rFonts w:ascii="Calibri" w:eastAsia="Times New Roman" w:hAnsi="Calibri" w:cs="Calibri"/>
          <w:smallCaps w:val="0"/>
          <w:color w:val="000000"/>
          <w:sz w:val="20"/>
          <w:szCs w:val="20"/>
          <w:lang w:eastAsia="en-MY"/>
        </w:rPr>
        <w:t xml:space="preserve"> | Legislative commentary</w:t>
      </w:r>
      <w:r w:rsidRPr="00417FEE">
        <w:rPr>
          <w:rFonts w:ascii="Calibri" w:eastAsia="Times New Roman" w:hAnsi="Calibri" w:cs="Calibri"/>
          <w:smallCaps w:val="0"/>
          <w:color w:val="000000"/>
          <w:sz w:val="20"/>
          <w:szCs w:val="20"/>
          <w:lang w:eastAsia="en-MY"/>
        </w:rPr>
        <w:br/>
      </w:r>
      <w:hyperlink r:id="rId24" w:history="1">
        <w:r w:rsidRPr="00417FEE">
          <w:rPr>
            <w:rFonts w:ascii="Calibri" w:eastAsia="Times New Roman" w:hAnsi="Calibri" w:cs="Calibri"/>
            <w:smallCaps w:val="0"/>
            <w:color w:val="155B8A"/>
            <w:sz w:val="20"/>
            <w:szCs w:val="20"/>
            <w:u w:val="single"/>
            <w:lang w:eastAsia="en-MY"/>
          </w:rPr>
          <w:t>Read full article</w:t>
        </w:r>
      </w:hyperlink>
    </w:p>
    <w:p w14:paraId="146D44B1"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365F91"/>
          <w:sz w:val="28"/>
          <w:szCs w:val="28"/>
          <w:lang w:eastAsia="en-MY"/>
        </w:rPr>
        <w:t>International practice</w:t>
      </w:r>
    </w:p>
    <w:p w14:paraId="3EF1042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18 Part 5 — Why expert witnesses disagree: understanding temporal divergence in arbitration</w:t>
      </w:r>
    </w:p>
    <w:p w14:paraId="3F3A364C"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Explores how experts can reach different conclusions because they rely on different versions of the evidence or pleaded case. Discusses aligning their evidential basis before comparing opinions on delay, quantum and other technical issues.</w:t>
      </w:r>
    </w:p>
    <w:p w14:paraId="3741D66E"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lastRenderedPageBreak/>
        <w:t>HKA</w:t>
      </w:r>
      <w:r w:rsidRPr="00417FEE">
        <w:rPr>
          <w:rFonts w:ascii="Calibri" w:eastAsia="Times New Roman" w:hAnsi="Calibri" w:cs="Calibri"/>
          <w:smallCaps w:val="0"/>
          <w:color w:val="000000"/>
          <w:sz w:val="20"/>
          <w:szCs w:val="20"/>
          <w:lang w:eastAsia="en-MY"/>
        </w:rPr>
        <w:t xml:space="preserve"> | Expert commentary</w:t>
      </w:r>
      <w:r w:rsidRPr="00417FEE">
        <w:rPr>
          <w:rFonts w:ascii="Calibri" w:eastAsia="Times New Roman" w:hAnsi="Calibri" w:cs="Calibri"/>
          <w:smallCaps w:val="0"/>
          <w:color w:val="000000"/>
          <w:sz w:val="20"/>
          <w:szCs w:val="20"/>
          <w:lang w:eastAsia="en-MY"/>
        </w:rPr>
        <w:br/>
      </w:r>
      <w:hyperlink r:id="rId25" w:history="1">
        <w:r w:rsidRPr="00417FEE">
          <w:rPr>
            <w:rFonts w:ascii="Calibri" w:eastAsia="Times New Roman" w:hAnsi="Calibri" w:cs="Calibri"/>
            <w:smallCaps w:val="0"/>
            <w:color w:val="155B8A"/>
            <w:sz w:val="20"/>
            <w:szCs w:val="20"/>
            <w:u w:val="single"/>
            <w:lang w:eastAsia="en-MY"/>
          </w:rPr>
          <w:t>Read full article</w:t>
        </w:r>
      </w:hyperlink>
    </w:p>
    <w:p w14:paraId="73CC051C"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 xml:space="preserve">19 International dispute resolution </w:t>
      </w:r>
      <w:proofErr w:type="gramStart"/>
      <w:r w:rsidRPr="00417FEE">
        <w:rPr>
          <w:rFonts w:ascii="Calibri" w:eastAsia="Times New Roman" w:hAnsi="Calibri" w:cs="Calibri"/>
          <w:b/>
          <w:bCs/>
          <w:smallCaps w:val="0"/>
          <w:color w:val="000000"/>
          <w:sz w:val="23"/>
          <w:szCs w:val="23"/>
          <w:lang w:eastAsia="en-MY"/>
        </w:rPr>
        <w:t>update</w:t>
      </w:r>
      <w:proofErr w:type="gramEnd"/>
    </w:p>
    <w:p w14:paraId="74ED0A7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Examines why a highway-project award against Colombia’s infrastructure agency could not be enforced against the state without overcoming sovereign immunity. Also reports termination of a construction investor’s claim against Turkmenistan for failure to provide security for costs, illustrating the importance of the correct debtor and adequate dispute funding.</w:t>
      </w:r>
    </w:p>
    <w:p w14:paraId="44B85F69"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Squire Patton Boggs</w:t>
      </w:r>
      <w:r w:rsidRPr="00417FEE">
        <w:rPr>
          <w:rFonts w:ascii="Calibri" w:eastAsia="Times New Roman" w:hAnsi="Calibri" w:cs="Calibri"/>
          <w:smallCaps w:val="0"/>
          <w:color w:val="000000"/>
          <w:sz w:val="20"/>
          <w:szCs w:val="20"/>
          <w:lang w:eastAsia="en-MY"/>
        </w:rPr>
        <w:t xml:space="preserve"> | Case commentary</w:t>
      </w:r>
      <w:r w:rsidRPr="00417FEE">
        <w:rPr>
          <w:rFonts w:ascii="Calibri" w:eastAsia="Times New Roman" w:hAnsi="Calibri" w:cs="Calibri"/>
          <w:smallCaps w:val="0"/>
          <w:color w:val="000000"/>
          <w:sz w:val="20"/>
          <w:szCs w:val="20"/>
          <w:lang w:eastAsia="en-MY"/>
        </w:rPr>
        <w:br/>
      </w:r>
      <w:hyperlink r:id="rId26" w:history="1">
        <w:r w:rsidRPr="00417FEE">
          <w:rPr>
            <w:rFonts w:ascii="Calibri" w:eastAsia="Times New Roman" w:hAnsi="Calibri" w:cs="Calibri"/>
            <w:smallCaps w:val="0"/>
            <w:color w:val="155B8A"/>
            <w:sz w:val="20"/>
            <w:szCs w:val="20"/>
            <w:u w:val="single"/>
            <w:lang w:eastAsia="en-MY"/>
          </w:rPr>
          <w:t>Read full update</w:t>
        </w:r>
      </w:hyperlink>
    </w:p>
    <w:p w14:paraId="70311EAD"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3"/>
          <w:szCs w:val="23"/>
          <w:lang w:eastAsia="en-MY"/>
        </w:rPr>
        <w:t>20 The future of AI in litigation and arbitration</w:t>
      </w:r>
    </w:p>
    <w:p w14:paraId="2772C364"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mbria" w:eastAsia="Times New Roman" w:hAnsi="Cambria" w:cs="Calibri"/>
          <w:smallCaps w:val="0"/>
          <w:color w:val="000000"/>
          <w:sz w:val="22"/>
          <w:szCs w:val="22"/>
          <w:lang w:eastAsia="en-MY"/>
        </w:rPr>
        <w:t>Explores the use of AI in managing documents, hearing transcripts and collaboration throughout a dispute. Discusses integration with case workflows and concerns about trust, control and security. The session offers practical context for teams handling the extensive project records and evidence involved in construction claims.</w:t>
      </w:r>
    </w:p>
    <w:p w14:paraId="78BEA692" w14:textId="77777777" w:rsidR="00417FEE" w:rsidRPr="00417FEE" w:rsidRDefault="00417FEE" w:rsidP="00417FEE">
      <w:pPr>
        <w:widowControl/>
        <w:autoSpaceDE/>
        <w:autoSpaceDN/>
        <w:rPr>
          <w:rFonts w:ascii="Calibri" w:eastAsia="Times New Roman" w:hAnsi="Calibri" w:cs="Calibri"/>
          <w:smallCaps w:val="0"/>
          <w:color w:val="000000"/>
          <w:lang w:eastAsia="en-MY"/>
        </w:rPr>
      </w:pPr>
      <w:r w:rsidRPr="00417FEE">
        <w:rPr>
          <w:rFonts w:ascii="Calibri" w:eastAsia="Times New Roman" w:hAnsi="Calibri" w:cs="Calibri"/>
          <w:b/>
          <w:bCs/>
          <w:smallCaps w:val="0"/>
          <w:color w:val="000000"/>
          <w:sz w:val="20"/>
          <w:szCs w:val="20"/>
          <w:lang w:eastAsia="en-MY"/>
        </w:rPr>
        <w:t>Opus 2</w:t>
      </w:r>
      <w:r w:rsidRPr="00417FEE">
        <w:rPr>
          <w:rFonts w:ascii="Calibri" w:eastAsia="Times New Roman" w:hAnsi="Calibri" w:cs="Calibri"/>
          <w:smallCaps w:val="0"/>
          <w:color w:val="000000"/>
          <w:sz w:val="20"/>
          <w:szCs w:val="20"/>
          <w:lang w:eastAsia="en-MY"/>
        </w:rPr>
        <w:t xml:space="preserve"> | Technology commentary and transcript</w:t>
      </w:r>
      <w:r w:rsidRPr="00417FEE">
        <w:rPr>
          <w:rFonts w:ascii="Calibri" w:eastAsia="Times New Roman" w:hAnsi="Calibri" w:cs="Calibri"/>
          <w:smallCaps w:val="0"/>
          <w:color w:val="000000"/>
          <w:sz w:val="20"/>
          <w:szCs w:val="20"/>
          <w:lang w:eastAsia="en-MY"/>
        </w:rPr>
        <w:br/>
      </w:r>
      <w:hyperlink r:id="rId27" w:history="1">
        <w:r w:rsidRPr="00417FEE">
          <w:rPr>
            <w:rFonts w:ascii="Calibri" w:eastAsia="Times New Roman" w:hAnsi="Calibri" w:cs="Calibri"/>
            <w:smallCaps w:val="0"/>
            <w:color w:val="155B8A"/>
            <w:sz w:val="20"/>
            <w:szCs w:val="20"/>
            <w:u w:val="single"/>
            <w:lang w:eastAsia="en-MY"/>
          </w:rPr>
          <w:t>Read transcript or watch</w:t>
        </w:r>
      </w:hyperlink>
    </w:p>
    <w:p w14:paraId="30DFEA6F" w14:textId="77777777" w:rsidR="00567817" w:rsidRDefault="00567817"/>
    <w:sectPr w:rsidR="00567817" w:rsidSect="002B3E74">
      <w:pgSz w:w="12240" w:h="15840" w:code="1"/>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EE"/>
    <w:rsid w:val="00071055"/>
    <w:rsid w:val="001F3901"/>
    <w:rsid w:val="00254F70"/>
    <w:rsid w:val="002B3E74"/>
    <w:rsid w:val="00417FEE"/>
    <w:rsid w:val="00567817"/>
    <w:rsid w:val="0061075C"/>
    <w:rsid w:val="00654964"/>
    <w:rsid w:val="00A97C4C"/>
    <w:rsid w:val="00E1128E"/>
    <w:rsid w:val="00E566D1"/>
    <w:rsid w:val="00ED3C32"/>
    <w:rsid w:val="00FD2846"/>
    <w:rsid w:val="00FE32B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D440"/>
  <w15:chartTrackingRefBased/>
  <w15:docId w15:val="{8753436D-3837-40A4-92F8-190D5648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Segoe UI"/>
        <w:smallCaps/>
        <w:color w:val="6E7376"/>
        <w:sz w:val="24"/>
        <w:szCs w:val="24"/>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055"/>
    <w:pPr>
      <w:widowControl w:val="0"/>
      <w:autoSpaceDE w:val="0"/>
      <w:autoSpaceDN w:val="0"/>
    </w:pPr>
  </w:style>
  <w:style w:type="paragraph" w:styleId="Heading1">
    <w:name w:val="heading 1"/>
    <w:basedOn w:val="Normal"/>
    <w:next w:val="Normal"/>
    <w:link w:val="Heading1Char"/>
    <w:uiPriority w:val="9"/>
    <w:qFormat/>
    <w:rsid w:val="00417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FE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FE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7FE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17F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7F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7F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7F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3"/>
    <w:basedOn w:val="DefaultParagraphFont"/>
    <w:uiPriority w:val="1"/>
    <w:qFormat/>
    <w:rsid w:val="00FE32BC"/>
    <w:rPr>
      <w:rFonts w:ascii="Arial" w:hAnsi="Arial"/>
      <w:sz w:val="24"/>
      <w:szCs w:val="21"/>
      <w:shd w:val="clear" w:color="auto" w:fill="FFFFFF"/>
      <w:vertAlign w:val="baseline"/>
    </w:rPr>
  </w:style>
  <w:style w:type="character" w:customStyle="1" w:styleId="Heading1Char">
    <w:name w:val="Heading 1 Char"/>
    <w:basedOn w:val="DefaultParagraphFont"/>
    <w:link w:val="Heading1"/>
    <w:uiPriority w:val="9"/>
    <w:rsid w:val="00417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F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F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17F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17F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7F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7F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7F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7FE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17FE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7F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F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7F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7FEE"/>
    <w:rPr>
      <w:i/>
      <w:iCs/>
      <w:color w:val="404040" w:themeColor="text1" w:themeTint="BF"/>
    </w:rPr>
  </w:style>
  <w:style w:type="paragraph" w:styleId="ListParagraph">
    <w:name w:val="List Paragraph"/>
    <w:basedOn w:val="Normal"/>
    <w:uiPriority w:val="34"/>
    <w:qFormat/>
    <w:rsid w:val="00417FEE"/>
    <w:pPr>
      <w:ind w:left="720"/>
      <w:contextualSpacing/>
    </w:pPr>
  </w:style>
  <w:style w:type="character" w:styleId="IntenseEmphasis">
    <w:name w:val="Intense Emphasis"/>
    <w:basedOn w:val="DefaultParagraphFont"/>
    <w:uiPriority w:val="21"/>
    <w:qFormat/>
    <w:rsid w:val="00417FEE"/>
    <w:rPr>
      <w:i/>
      <w:iCs/>
      <w:color w:val="0F4761" w:themeColor="accent1" w:themeShade="BF"/>
    </w:rPr>
  </w:style>
  <w:style w:type="paragraph" w:styleId="IntenseQuote">
    <w:name w:val="Intense Quote"/>
    <w:basedOn w:val="Normal"/>
    <w:next w:val="Normal"/>
    <w:link w:val="IntenseQuoteChar"/>
    <w:uiPriority w:val="30"/>
    <w:qFormat/>
    <w:rsid w:val="00417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FEE"/>
    <w:rPr>
      <w:i/>
      <w:iCs/>
      <w:color w:val="0F4761" w:themeColor="accent1" w:themeShade="BF"/>
    </w:rPr>
  </w:style>
  <w:style w:type="character" w:styleId="IntenseReference">
    <w:name w:val="Intense Reference"/>
    <w:basedOn w:val="DefaultParagraphFont"/>
    <w:uiPriority w:val="32"/>
    <w:qFormat/>
    <w:rsid w:val="00417FEE"/>
    <w:rPr>
      <w:b/>
      <w:bCs/>
      <w:smallCaps w:val="0"/>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dlegal.com.sg/section-30-cipaa-meets-insolvency-law-as-court-of-appeal-clarifies-limits-of-direct-payment/" TargetMode="External"/><Relationship Id="rId13" Type="http://schemas.openxmlformats.org/officeDocument/2006/relationships/hyperlink" Target="https://eshwars.com/blog/rethinking-msme-enforcement-how-the-2026-amendment-rewrites-the-rules-on-delayed-payments-and-dispute-resolution/" TargetMode="External"/><Relationship Id="rId18" Type="http://schemas.openxmlformats.org/officeDocument/2006/relationships/hyperlink" Target="https://www.ashurstperkinscoie.com/en/podcasts/esg-matters-podcasts/esg-matters-nearing-net-zero-data-centres-and-the-social-license-question/" TargetMode="External"/><Relationship Id="rId26" Type="http://schemas.openxmlformats.org/officeDocument/2006/relationships/hyperlink" Target="https://www.squirepattonboggs.com/insights/publications/international-dispute-resolution-update-september-2026/" TargetMode="External"/><Relationship Id="rId3" Type="http://schemas.openxmlformats.org/officeDocument/2006/relationships/webSettings" Target="webSettings.xml"/><Relationship Id="rId21" Type="http://schemas.openxmlformats.org/officeDocument/2006/relationships/hyperlink" Target="https://www.twobirds.com/en/insights/2026/netherlands/the-netherlands-proposes-mandatory-environmental-requirements-for-infrastructure-procurement" TargetMode="External"/><Relationship Id="rId7" Type="http://schemas.openxmlformats.org/officeDocument/2006/relationships/hyperlink" Target="https://chatgpt.com/c/6ab62ff2-5290-83ec-8817-12a471066655" TargetMode="External"/><Relationship Id="rId12" Type="http://schemas.openxmlformats.org/officeDocument/2006/relationships/hyperlink" Target="https://natlawreview.com/article/dispute-resolution-hotline" TargetMode="External"/><Relationship Id="rId17" Type="http://schemas.openxmlformats.org/officeDocument/2006/relationships/hyperlink" Target="https://jcl.com.au/expert-determination-the-quiet-power-player-in-high-value-commercial-disputes/" TargetMode="External"/><Relationship Id="rId25" Type="http://schemas.openxmlformats.org/officeDocument/2006/relationships/hyperlink" Target="https://www.hka.com/article/why-expert-witnesses-disagree-in-arbitration/" TargetMode="External"/><Relationship Id="rId2" Type="http://schemas.openxmlformats.org/officeDocument/2006/relationships/settings" Target="settings.xml"/><Relationship Id="rId16" Type="http://schemas.openxmlformats.org/officeDocument/2006/relationships/hyperlink" Target="https://www.accuraconsulting.com/news-and-insights/delay-expert-witness-delay-rarely-starts-where-you-think" TargetMode="External"/><Relationship Id="rId20" Type="http://schemas.openxmlformats.org/officeDocument/2006/relationships/hyperlink" Target="https://www.lexgo.be/en/news-and-articles/15097-the-proposed-eu-public-procurement-regulation-key-changes-and-practical-implications-for-belgiu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hatgpt.com/c/6ab62ff2-5290-83ec-8817-12a471066655" TargetMode="External"/><Relationship Id="rId11" Type="http://schemas.openxmlformats.org/officeDocument/2006/relationships/hyperlink" Target="https://www.skrine.com/insights/alerts/september-2026/malaysia-s-cross-border-insolvency-act-2026-comes" TargetMode="External"/><Relationship Id="rId24" Type="http://schemas.openxmlformats.org/officeDocument/2006/relationships/hyperlink" Target="https://www.clydeco.com/en/insights/2026/09/tanzania-proposed-amendments-to-the-natural-wealth" TargetMode="External"/><Relationship Id="rId5" Type="http://schemas.openxmlformats.org/officeDocument/2006/relationships/hyperlink" Target="https://chatgpt.com/c/6ab62ff2-5290-83ec-8817-12a471066655" TargetMode="External"/><Relationship Id="rId15" Type="http://schemas.openxmlformats.org/officeDocument/2006/relationships/hyperlink" Target="https://www.gadens.com/insights/what-the-victorian-royal-commission-means-for-organisations-involved-in-major-projects" TargetMode="External"/><Relationship Id="rId23" Type="http://schemas.openxmlformats.org/officeDocument/2006/relationships/hyperlink" Target="https://leaders-advocates.ae/can-buyers-get-refund-if-project-gets-cancelled/" TargetMode="External"/><Relationship Id="rId28" Type="http://schemas.openxmlformats.org/officeDocument/2006/relationships/fontTable" Target="fontTable.xml"/><Relationship Id="rId10" Type="http://schemas.openxmlformats.org/officeDocument/2006/relationships/hyperlink" Target="https://www.shearndelamore.com/whats-new/alerts/dispute-resolution-update-september-2026/" TargetMode="External"/><Relationship Id="rId19" Type="http://schemas.openxmlformats.org/officeDocument/2006/relationships/hyperlink" Target="https://wynnwilliams.co.nz/insights/dispute-resolution/cross-leases-renovations-and-neighbour-disputes-a-shift-in-approach/" TargetMode="External"/><Relationship Id="rId4" Type="http://schemas.openxmlformats.org/officeDocument/2006/relationships/hyperlink" Target="https://chatgpt.com/c/6ab62ff2-5290-83ec-8817-12a471066655" TargetMode="External"/><Relationship Id="rId9" Type="http://schemas.openxmlformats.org/officeDocument/2006/relationships/hyperlink" Target="https://www.christopherleeong.com/viewpoints/haze-is-an-occupational-safety-and-health-issue-and-most-employers-are-not-treating-it-as-one/" TargetMode="External"/><Relationship Id="rId14" Type="http://schemas.openxmlformats.org/officeDocument/2006/relationships/hyperlink" Target="https://www.reedsmith.com/articles/arbitration-awards-under-challenge-a-global-series/after-the-award-trends-in-arbitration-challenges-singapore/" TargetMode="External"/><Relationship Id="rId22" Type="http://schemas.openxmlformats.org/officeDocument/2006/relationships/hyperlink" Target="https://chambers.com/articles/civil-claims-for-breach-of-contract-under-uae-laws" TargetMode="External"/><Relationship Id="rId27" Type="http://schemas.openxmlformats.org/officeDocument/2006/relationships/hyperlink" Target="https://www.opus2.com/resources/webinars/ai-in-litigation-and-arbi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1785</Words>
  <Characters>10178</Characters>
  <Application>Microsoft Office Word</Application>
  <DocSecurity>0</DocSecurity>
  <Lines>84</Lines>
  <Paragraphs>23</Paragraphs>
  <ScaleCrop>false</ScaleCrop>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 Lik Hin</dc:creator>
  <cp:keywords/>
  <dc:description/>
  <cp:lastModifiedBy>Chin Lik Hin</cp:lastModifiedBy>
  <cp:revision>1</cp:revision>
  <dcterms:created xsi:type="dcterms:W3CDTF">2026-09-25T09:41:00Z</dcterms:created>
  <dcterms:modified xsi:type="dcterms:W3CDTF">2026-09-25T09:43:00Z</dcterms:modified>
</cp:coreProperties>
</file>