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jc w:val="center"/>
      </w:pPr>
      <w:r>
        <w:rPr>
          <w:rFonts w:ascii="Arial" w:hAnsi="Arial"/>
          <w:b/>
          <w:color w:val="1B7A74"/>
          <w:sz w:val="30"/>
        </w:rPr>
        <w:t xml:space="preserve">ATLAS™ TOOLKIT </w:t>
      </w:r>
    </w:p>
    <w:p>
      <w:pPr>
        <w:jc w:val="center"/>
      </w:pPr>
      <w:r>
        <w:rPr>
          <w:rFonts w:ascii="Arial" w:hAnsi="Arial"/>
          <w:b/>
          <w:color w:val="142C43"/>
          <w:sz w:val="56"/>
        </w:rPr>
        <w:t>ATLAS™ CONTRACT ADMINISTRATION IMPLEMENTATION GUIDE</w:t>
      </w:r>
    </w:p>
    <w:p>
      <w:pPr>
        <w:jc w:val="center"/>
      </w:pPr>
      <w:r>
        <w:rPr>
          <w:b/>
          <w:color w:val="C98B29"/>
          <w:sz w:val="30"/>
        </w:rPr>
        <w:t>Deployment of the Six Essential Toolkits</w:t>
      </w:r>
    </w:p>
    <w:p>
      <w:pPr>
        <w:spacing w:before="240"/>
        <w:jc w:val="center"/>
      </w:pPr>
      <w:r>
        <w:rPr>
          <w:color w:val="323E48"/>
          <w:sz w:val="22"/>
        </w:rPr>
        <w:t>A management guide for rolling out the toolkit across a project, business unit or contracting organisation.</w:t>
      </w:r>
    </w:p>
    <w:p/>
    <w:p>
      <w:pPr>
        <w:pStyle w:val="Heading1"/>
      </w:pPr>
      <w:r>
        <w:t>Recommended Deployment Model</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440"/>
            <w:vAlign w:val="center"/>
            <w:shd w:fill="142C43"/>
          </w:tcPr>
          <w:p>
            <w:r/>
            <w:r>
              <w:rPr>
                <w:rFonts w:ascii="Arial" w:hAnsi="Arial"/>
                <w:b/>
                <w:color w:val="FFFFFF"/>
                <w:sz w:val="17"/>
              </w:rPr>
              <w:t>Week / Stage</w:t>
            </w:r>
          </w:p>
        </w:tc>
        <w:tc>
          <w:tcPr>
            <w:tcW w:type="dxa" w:w="3744"/>
            <w:vAlign w:val="center"/>
            <w:shd w:fill="142C43"/>
          </w:tcPr>
          <w:p>
            <w:r/>
            <w:r>
              <w:rPr>
                <w:rFonts w:ascii="Arial" w:hAnsi="Arial"/>
                <w:b/>
                <w:color w:val="FFFFFF"/>
                <w:sz w:val="17"/>
              </w:rPr>
              <w:t>Action</w:t>
            </w:r>
          </w:p>
        </w:tc>
        <w:tc>
          <w:tcPr>
            <w:tcW w:type="dxa" w:w="3312"/>
            <w:vAlign w:val="center"/>
            <w:shd w:fill="142C43"/>
          </w:tcPr>
          <w:p>
            <w:r/>
            <w:r>
              <w:rPr>
                <w:rFonts w:ascii="Arial" w:hAnsi="Arial"/>
                <w:b/>
                <w:color w:val="FFFFFF"/>
                <w:sz w:val="17"/>
              </w:rPr>
              <w:t>Output</w:t>
            </w:r>
          </w:p>
        </w:tc>
        <w:tc>
          <w:tcPr>
            <w:tcW w:type="dxa" w:w="1584"/>
            <w:vAlign w:val="center"/>
            <w:shd w:fill="142C43"/>
          </w:tcPr>
          <w:p>
            <w:r/>
            <w:r>
              <w:rPr>
                <w:rFonts w:ascii="Arial" w:hAnsi="Arial"/>
                <w:b/>
                <w:color w:val="FFFFFF"/>
                <w:sz w:val="17"/>
              </w:rPr>
              <w:t>Owner</w:t>
            </w:r>
          </w:p>
        </w:tc>
      </w:tr>
      <w:tr>
        <w:tc>
          <w:tcPr>
            <w:tcW w:type="dxa" w:w="1440"/>
            <w:vAlign w:val="center"/>
          </w:tcPr>
          <w:p>
            <w:r/>
            <w:r>
              <w:rPr>
                <w:rFonts w:ascii="Arial" w:hAnsi="Arial"/>
                <w:b/>
                <w:color w:val="142C43"/>
                <w:sz w:val="17"/>
              </w:rPr>
              <w:t>Mobilisation</w:t>
            </w:r>
          </w:p>
        </w:tc>
        <w:tc>
          <w:tcPr>
            <w:tcW w:type="dxa" w:w="3744"/>
            <w:vAlign w:val="center"/>
          </w:tcPr>
          <w:p>
            <w:r/>
            <w:r>
              <w:rPr>
                <w:rFonts w:ascii="Arial" w:hAnsi="Arial"/>
                <w:b w:val="0"/>
                <w:color w:val="1E242A"/>
                <w:sz w:val="17"/>
              </w:rPr>
              <w:t>Map contract and set administration calendar</w:t>
            </w:r>
          </w:p>
        </w:tc>
        <w:tc>
          <w:tcPr>
            <w:tcW w:type="dxa" w:w="3312"/>
            <w:vAlign w:val="center"/>
          </w:tcPr>
          <w:p>
            <w:r/>
            <w:r>
              <w:rPr>
                <w:rFonts w:ascii="Arial" w:hAnsi="Arial"/>
                <w:b w:val="0"/>
                <w:color w:val="1E242A"/>
                <w:sz w:val="17"/>
              </w:rPr>
              <w:t>Toolkit 1 completed</w:t>
            </w:r>
          </w:p>
        </w:tc>
        <w:tc>
          <w:tcPr>
            <w:tcW w:type="dxa" w:w="1584"/>
            <w:vAlign w:val="center"/>
          </w:tcPr>
          <w:p>
            <w:r/>
            <w:r>
              <w:rPr>
                <w:rFonts w:ascii="Arial" w:hAnsi="Arial"/>
                <w:b w:val="0"/>
                <w:color w:val="1E242A"/>
                <w:sz w:val="17"/>
              </w:rPr>
              <w:t>Lead CA</w:t>
            </w:r>
          </w:p>
        </w:tc>
      </w:tr>
      <w:tr>
        <w:tc>
          <w:tcPr>
            <w:tcW w:type="dxa" w:w="1440"/>
            <w:vAlign w:val="center"/>
            <w:shd w:fill="F5F7F8"/>
          </w:tcPr>
          <w:p>
            <w:r/>
            <w:r>
              <w:rPr>
                <w:rFonts w:ascii="Arial" w:hAnsi="Arial"/>
                <w:b/>
                <w:color w:val="142C43"/>
                <w:sz w:val="17"/>
              </w:rPr>
              <w:t>Week 1</w:t>
            </w:r>
          </w:p>
        </w:tc>
        <w:tc>
          <w:tcPr>
            <w:tcW w:type="dxa" w:w="3744"/>
            <w:vAlign w:val="center"/>
            <w:shd w:fill="F5F7F8"/>
          </w:tcPr>
          <w:p>
            <w:r/>
            <w:r>
              <w:rPr>
                <w:rFonts w:ascii="Arial" w:hAnsi="Arial"/>
                <w:b w:val="0"/>
                <w:color w:val="1E242A"/>
                <w:sz w:val="17"/>
              </w:rPr>
              <w:t>Launch notice, change, delay, payment and evidence registers</w:t>
            </w:r>
          </w:p>
        </w:tc>
        <w:tc>
          <w:tcPr>
            <w:tcW w:type="dxa" w:w="3312"/>
            <w:vAlign w:val="center"/>
            <w:shd w:fill="F5F7F8"/>
          </w:tcPr>
          <w:p>
            <w:r/>
            <w:r>
              <w:rPr>
                <w:rFonts w:ascii="Arial" w:hAnsi="Arial"/>
                <w:b w:val="0"/>
                <w:color w:val="1E242A"/>
                <w:sz w:val="17"/>
              </w:rPr>
              <w:t>Toolkits 2–6 live</w:t>
            </w:r>
          </w:p>
        </w:tc>
        <w:tc>
          <w:tcPr>
            <w:tcW w:type="dxa" w:w="1584"/>
            <w:vAlign w:val="center"/>
            <w:shd w:fill="F5F7F8"/>
          </w:tcPr>
          <w:p>
            <w:r/>
            <w:r>
              <w:rPr>
                <w:rFonts w:ascii="Arial" w:hAnsi="Arial"/>
                <w:b w:val="0"/>
                <w:color w:val="1E242A"/>
                <w:sz w:val="17"/>
              </w:rPr>
              <w:t>CA / Commercial / Planner</w:t>
            </w:r>
          </w:p>
        </w:tc>
      </w:tr>
      <w:tr>
        <w:tc>
          <w:tcPr>
            <w:tcW w:type="dxa" w:w="1440"/>
            <w:vAlign w:val="center"/>
          </w:tcPr>
          <w:p>
            <w:r/>
            <w:r>
              <w:rPr>
                <w:rFonts w:ascii="Arial" w:hAnsi="Arial"/>
                <w:b/>
                <w:color w:val="142C43"/>
                <w:sz w:val="17"/>
              </w:rPr>
              <w:t>Weekly</w:t>
            </w:r>
          </w:p>
        </w:tc>
        <w:tc>
          <w:tcPr>
            <w:tcW w:type="dxa" w:w="3744"/>
            <w:vAlign w:val="center"/>
          </w:tcPr>
          <w:p>
            <w:r/>
            <w:r>
              <w:rPr>
                <w:rFonts w:ascii="Arial" w:hAnsi="Arial"/>
                <w:b w:val="0"/>
                <w:color w:val="1E242A"/>
                <w:sz w:val="17"/>
              </w:rPr>
              <w:t>Contract administration review meeting</w:t>
            </w:r>
          </w:p>
        </w:tc>
        <w:tc>
          <w:tcPr>
            <w:tcW w:type="dxa" w:w="3312"/>
            <w:vAlign w:val="center"/>
          </w:tcPr>
          <w:p>
            <w:r/>
            <w:r>
              <w:rPr>
                <w:rFonts w:ascii="Arial" w:hAnsi="Arial"/>
                <w:b w:val="0"/>
                <w:color w:val="1E242A"/>
                <w:sz w:val="17"/>
              </w:rPr>
              <w:t>Deadlines, notices, change, delay and claims reviewed</w:t>
            </w:r>
          </w:p>
        </w:tc>
        <w:tc>
          <w:tcPr>
            <w:tcW w:type="dxa" w:w="1584"/>
            <w:vAlign w:val="center"/>
          </w:tcPr>
          <w:p>
            <w:r/>
            <w:r>
              <w:rPr>
                <w:rFonts w:ascii="Arial" w:hAnsi="Arial"/>
                <w:b w:val="0"/>
                <w:color w:val="1E242A"/>
                <w:sz w:val="17"/>
              </w:rPr>
              <w:t>Project Manager</w:t>
            </w:r>
          </w:p>
        </w:tc>
      </w:tr>
      <w:tr>
        <w:tc>
          <w:tcPr>
            <w:tcW w:type="dxa" w:w="1440"/>
            <w:vAlign w:val="center"/>
            <w:shd w:fill="F5F7F8"/>
          </w:tcPr>
          <w:p>
            <w:r/>
            <w:r>
              <w:rPr>
                <w:rFonts w:ascii="Arial" w:hAnsi="Arial"/>
                <w:b/>
                <w:color w:val="142C43"/>
                <w:sz w:val="17"/>
              </w:rPr>
              <w:t>Monthly</w:t>
            </w:r>
          </w:p>
        </w:tc>
        <w:tc>
          <w:tcPr>
            <w:tcW w:type="dxa" w:w="3744"/>
            <w:vAlign w:val="center"/>
            <w:shd w:fill="F5F7F8"/>
          </w:tcPr>
          <w:p>
            <w:r/>
            <w:r>
              <w:rPr>
                <w:rFonts w:ascii="Arial" w:hAnsi="Arial"/>
                <w:b w:val="0"/>
                <w:color w:val="1E242A"/>
                <w:sz w:val="17"/>
              </w:rPr>
              <w:t>Management contract health review</w:t>
            </w:r>
          </w:p>
        </w:tc>
        <w:tc>
          <w:tcPr>
            <w:tcW w:type="dxa" w:w="3312"/>
            <w:vAlign w:val="center"/>
            <w:shd w:fill="F5F7F8"/>
          </w:tcPr>
          <w:p>
            <w:r/>
            <w:r>
              <w:rPr>
                <w:rFonts w:ascii="Arial" w:hAnsi="Arial"/>
                <w:b w:val="0"/>
                <w:color w:val="1E242A"/>
                <w:sz w:val="17"/>
              </w:rPr>
              <w:t>Exposure dashboard and decisions</w:t>
            </w:r>
          </w:p>
        </w:tc>
        <w:tc>
          <w:tcPr>
            <w:tcW w:type="dxa" w:w="1584"/>
            <w:vAlign w:val="center"/>
            <w:shd w:fill="F5F7F8"/>
          </w:tcPr>
          <w:p>
            <w:r/>
            <w:r>
              <w:rPr>
                <w:rFonts w:ascii="Arial" w:hAnsi="Arial"/>
                <w:b w:val="0"/>
                <w:color w:val="1E242A"/>
                <w:sz w:val="17"/>
              </w:rPr>
              <w:t>Project Director / CXO</w:t>
            </w:r>
          </w:p>
        </w:tc>
      </w:tr>
      <w:tr>
        <w:tc>
          <w:tcPr>
            <w:tcW w:type="dxa" w:w="1440"/>
            <w:vAlign w:val="center"/>
          </w:tcPr>
          <w:p>
            <w:r/>
            <w:r>
              <w:rPr>
                <w:rFonts w:ascii="Arial" w:hAnsi="Arial"/>
                <w:b/>
                <w:color w:val="142C43"/>
                <w:sz w:val="17"/>
              </w:rPr>
              <w:t>Major Event</w:t>
            </w:r>
          </w:p>
        </w:tc>
        <w:tc>
          <w:tcPr>
            <w:tcW w:type="dxa" w:w="3744"/>
            <w:vAlign w:val="center"/>
          </w:tcPr>
          <w:p>
            <w:r/>
            <w:r>
              <w:rPr>
                <w:rFonts w:ascii="Arial" w:hAnsi="Arial"/>
                <w:b w:val="0"/>
                <w:color w:val="1E242A"/>
                <w:sz w:val="17"/>
              </w:rPr>
              <w:t>Activate event workflow</w:t>
            </w:r>
          </w:p>
        </w:tc>
        <w:tc>
          <w:tcPr>
            <w:tcW w:type="dxa" w:w="3312"/>
            <w:vAlign w:val="center"/>
          </w:tcPr>
          <w:p>
            <w:r/>
            <w:r>
              <w:rPr>
                <w:rFonts w:ascii="Arial" w:hAnsi="Arial"/>
                <w:b w:val="0"/>
                <w:color w:val="1E242A"/>
                <w:sz w:val="17"/>
              </w:rPr>
              <w:t>Clause, notice, evidence, time and money position</w:t>
            </w:r>
          </w:p>
        </w:tc>
        <w:tc>
          <w:tcPr>
            <w:tcW w:type="dxa" w:w="1584"/>
            <w:vAlign w:val="center"/>
          </w:tcPr>
          <w:p>
            <w:r/>
            <w:r>
              <w:rPr>
                <w:rFonts w:ascii="Arial" w:hAnsi="Arial"/>
                <w:b w:val="0"/>
                <w:color w:val="1E242A"/>
                <w:sz w:val="17"/>
              </w:rPr>
              <w:t>Event Owner</w:t>
            </w:r>
          </w:p>
        </w:tc>
      </w:tr>
      <w:tr>
        <w:tc>
          <w:tcPr>
            <w:tcW w:type="dxa" w:w="1440"/>
            <w:vAlign w:val="center"/>
            <w:shd w:fill="F5F7F8"/>
          </w:tcPr>
          <w:p>
            <w:r/>
            <w:r>
              <w:rPr>
                <w:rFonts w:ascii="Arial" w:hAnsi="Arial"/>
                <w:b/>
                <w:color w:val="142C43"/>
                <w:sz w:val="17"/>
              </w:rPr>
              <w:t>Close-Out</w:t>
            </w:r>
          </w:p>
        </w:tc>
        <w:tc>
          <w:tcPr>
            <w:tcW w:type="dxa" w:w="3744"/>
            <w:vAlign w:val="center"/>
            <w:shd w:fill="F5F7F8"/>
          </w:tcPr>
          <w:p>
            <w:r/>
            <w:r>
              <w:rPr>
                <w:rFonts w:ascii="Arial" w:hAnsi="Arial"/>
                <w:b w:val="0"/>
                <w:color w:val="1E242A"/>
                <w:sz w:val="17"/>
              </w:rPr>
              <w:t>Reconcile unresolved matters and archive evidence</w:t>
            </w:r>
          </w:p>
        </w:tc>
        <w:tc>
          <w:tcPr>
            <w:tcW w:type="dxa" w:w="3312"/>
            <w:vAlign w:val="center"/>
            <w:shd w:fill="F5F7F8"/>
          </w:tcPr>
          <w:p>
            <w:r/>
            <w:r>
              <w:rPr>
                <w:rFonts w:ascii="Arial" w:hAnsi="Arial"/>
                <w:b w:val="0"/>
                <w:color w:val="1E242A"/>
                <w:sz w:val="17"/>
              </w:rPr>
              <w:t>Final account / claim / record close-out</w:t>
            </w:r>
          </w:p>
        </w:tc>
        <w:tc>
          <w:tcPr>
            <w:tcW w:type="dxa" w:w="1584"/>
            <w:vAlign w:val="center"/>
            <w:shd w:fill="F5F7F8"/>
          </w:tcPr>
          <w:p>
            <w:r/>
            <w:r>
              <w:rPr>
                <w:rFonts w:ascii="Arial" w:hAnsi="Arial"/>
                <w:b w:val="0"/>
                <w:color w:val="1E242A"/>
                <w:sz w:val="17"/>
              </w:rPr>
              <w:t>Lead CA</w:t>
            </w:r>
          </w:p>
        </w:tc>
      </w:tr>
    </w:tbl>
    <w:p>
      <w:pPr>
        <w:spacing w:after="60"/>
      </w:pPr>
    </w:p>
    <w:p>
      <w:pPr>
        <w:pStyle w:val="Heading1"/>
      </w:pPr>
      <w:r>
        <w:t>Standing Weekly Contract Administration Agenda</w:t>
      </w:r>
    </w:p>
    <w:p>
      <w:pPr>
        <w:spacing w:after="40"/>
      </w:pPr>
      <w:r>
        <w:rPr>
          <w:b/>
          <w:color w:val="142C43"/>
        </w:rPr>
        <w:t xml:space="preserve">1.  </w:t>
      </w:r>
      <w:r>
        <w:t>Time bars and notices due in the next 14 days</w:t>
      </w:r>
    </w:p>
    <w:p>
      <w:pPr>
        <w:spacing w:after="40"/>
      </w:pPr>
      <w:r>
        <w:rPr>
          <w:b/>
          <w:color w:val="142C43"/>
        </w:rPr>
        <w:t xml:space="preserve">2.  </w:t>
      </w:r>
      <w:r>
        <w:t>New instructions and potential variations</w:t>
      </w:r>
    </w:p>
    <w:p>
      <w:pPr>
        <w:spacing w:after="40"/>
      </w:pPr>
      <w:r>
        <w:rPr>
          <w:b/>
          <w:color w:val="142C43"/>
        </w:rPr>
        <w:t xml:space="preserve">3.  </w:t>
      </w:r>
      <w:r>
        <w:t>Pending variation quotations and approvals</w:t>
      </w:r>
    </w:p>
    <w:p>
      <w:pPr>
        <w:spacing w:after="40"/>
      </w:pPr>
      <w:r>
        <w:rPr>
          <w:b/>
          <w:color w:val="142C43"/>
        </w:rPr>
        <w:t xml:space="preserve">4.  </w:t>
      </w:r>
      <w:r>
        <w:t>Current delay events, programme effect and mitigation</w:t>
      </w:r>
    </w:p>
    <w:p>
      <w:pPr>
        <w:spacing w:after="40"/>
      </w:pPr>
      <w:r>
        <w:rPr>
          <w:b/>
          <w:color w:val="142C43"/>
        </w:rPr>
        <w:t xml:space="preserve">5.  </w:t>
      </w:r>
      <w:r>
        <w:t>EOT notices and submissions</w:t>
      </w:r>
    </w:p>
    <w:p>
      <w:pPr>
        <w:spacing w:after="40"/>
      </w:pPr>
      <w:r>
        <w:rPr>
          <w:b/>
          <w:color w:val="142C43"/>
        </w:rPr>
        <w:t xml:space="preserve">6.  </w:t>
      </w:r>
      <w:r>
        <w:t>Payment applications, certificates and overdue payment</w:t>
      </w:r>
    </w:p>
    <w:p>
      <w:pPr>
        <w:spacing w:after="40"/>
      </w:pPr>
      <w:r>
        <w:rPr>
          <w:b/>
          <w:color w:val="142C43"/>
        </w:rPr>
        <w:t xml:space="preserve">7.  </w:t>
      </w:r>
      <w:r>
        <w:t>Claims and responses due</w:t>
      </w:r>
    </w:p>
    <w:p>
      <w:pPr>
        <w:spacing w:after="40"/>
      </w:pPr>
      <w:r>
        <w:rPr>
          <w:b/>
          <w:color w:val="142C43"/>
        </w:rPr>
        <w:t xml:space="preserve">8.  </w:t>
      </w:r>
      <w:r>
        <w:t>Evidence gaps and document control issues</w:t>
      </w:r>
    </w:p>
    <w:p>
      <w:pPr>
        <w:spacing w:after="40"/>
      </w:pPr>
      <w:r>
        <w:rPr>
          <w:b/>
          <w:color w:val="142C43"/>
        </w:rPr>
        <w:t xml:space="preserve">9.  </w:t>
      </w:r>
      <w:r>
        <w:t>Risk / dispute escalation decisions</w:t>
      </w:r>
    </w:p>
    <w:p>
      <w:pPr>
        <w:spacing w:after="40"/>
      </w:pPr>
      <w:r>
        <w:rPr>
          <w:b/>
          <w:color w:val="142C43"/>
        </w:rPr>
        <w:t xml:space="preserve">10.  </w:t>
      </w:r>
      <w:r>
        <w:t>Actions, owners and deadlines</w:t>
      </w:r>
    </w:p>
    <w:p>
      <w:pPr>
        <w:pStyle w:val="Heading1"/>
      </w:pPr>
      <w:r>
        <w:t>Recommended Issue Reference Convention</w:t>
      </w:r>
    </w:p>
    <w:p>
      <w:r>
        <w:t>Use one common reference to connect records across all six toolkits. Example: EVT-2026-014. The same reference should appear on the notice, change register, delay register, claim assessment and evidence matrix where the event is related.</w:t>
      </w:r>
    </w:p>
    <w:p>
      <w:pPr>
        <w:pStyle w:val="Heading1"/>
      </w:pPr>
      <w:r>
        <w:t>Minimum Governance</w:t>
      </w:r>
    </w:p>
    <w:p>
      <w:pPr>
        <w:pStyle w:val="ListBullet"/>
        <w:spacing w:after="40"/>
      </w:pPr>
      <w:r>
        <w:t>Lead Contract Administrator owns the overall system.</w:t>
      </w:r>
    </w:p>
    <w:p>
      <w:pPr>
        <w:pStyle w:val="ListBullet"/>
        <w:spacing w:after="40"/>
      </w:pPr>
      <w:r>
        <w:t>Project Manager chairs the weekly review and enforces action ownership.</w:t>
      </w:r>
    </w:p>
    <w:p>
      <w:pPr>
        <w:pStyle w:val="ListBullet"/>
        <w:spacing w:after="40"/>
      </w:pPr>
      <w:r>
        <w:t>Planner owns programme evidence and delay analysis.</w:t>
      </w:r>
    </w:p>
    <w:p>
      <w:pPr>
        <w:pStyle w:val="ListBullet"/>
        <w:spacing w:after="40"/>
      </w:pPr>
      <w:r>
        <w:t>Commercial / QS owns valuation, payment and quantum.</w:t>
      </w:r>
    </w:p>
    <w:p>
      <w:pPr>
        <w:pStyle w:val="ListBullet"/>
        <w:spacing w:after="40"/>
      </w:pPr>
      <w:r>
        <w:t>Document Controller owns controlled filing and proof of transmission.</w:t>
      </w:r>
    </w:p>
    <w:p>
      <w:pPr>
        <w:pStyle w:val="ListBullet"/>
        <w:spacing w:after="40"/>
      </w:pPr>
      <w:r>
        <w:t>Senior management reviews unresolved high-value / high-time exposure monthly.</w:t>
      </w: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SUCCESS TEST  </w:t>
            </w:r>
            <w:r>
              <w:rPr>
                <w:rFonts w:ascii="Arial" w:hAnsi="Arial"/>
                <w:sz w:val="19"/>
              </w:rPr>
              <w:t>At any point, management should be able to ask: What happened? Which clause applies? Was notice issued? What is the time effect? What is the money effect? What evidence do we have? Who owns the next action? The toolkit is working when those answers can be produced quickly.</w:t>
            </w:r>
          </w:p>
        </w:tc>
      </w:tr>
    </w:tbl>
    <w:p>
      <w:pPr>
        <w:spacing w:after="40"/>
      </w:pPr>
    </w:p>
    <w:sectPr w:rsidR="00FC693F" w:rsidRPr="0006063C" w:rsidSect="00034616">
      <w:headerReference w:type="default" r:id="rId9"/>
      <w:footerReference w:type="default" r:id="rId10"/>
      <w:pgSz w:w="12240" w:h="15840"/>
      <w:pgMar w:top="792"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975"/>
        <w:sz w:val="15"/>
      </w:rPr>
      <w:t>Implementation edition • Adapt to the applicable contract form, amendments and governing law.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B6975"/>
        <w:sz w:val="16"/>
      </w:rPr>
      <w:t>ATLAS™  |  CONTRACT ADMINISTRATOR PROFESSIONAL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4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2C43"/>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B7A7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2C4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42C4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